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drawing>
          <wp:inline xmlns:a="http://schemas.openxmlformats.org/drawingml/2006/main" xmlns:pic="http://schemas.openxmlformats.org/drawingml/2006/picture">
            <wp:extent cx="3337560" cy="4314923"/>
            <wp:docPr id="1" name="Picture 1"/>
            <wp:cNvGraphicFramePr>
              <a:graphicFrameLocks noChangeAspect="1"/>
            </wp:cNvGraphicFramePr>
            <a:graphic>
              <a:graphicData uri="http://schemas.openxmlformats.org/drawingml/2006/picture">
                <pic:pic>
                  <pic:nvPicPr>
                    <pic:cNvPr id="0" name="professional-calling-editorial-cover.png"/>
                    <pic:cNvPicPr/>
                  </pic:nvPicPr>
                  <pic:blipFill>
                    <a:blip r:embed="rId11"/>
                    <a:stretch>
                      <a:fillRect/>
                    </a:stretch>
                  </pic:blipFill>
                  <pic:spPr>
                    <a:xfrm>
                      <a:off x="0" y="0"/>
                      <a:ext cx="3337560" cy="4314923"/>
                    </a:xfrm>
                    <a:prstGeom prst="rect"/>
                  </pic:spPr>
                </pic:pic>
              </a:graphicData>
            </a:graphic>
          </wp:inline>
        </w:drawing>
      </w:r>
    </w:p>
    <w:p>
      <w:pPr>
        <w:spacing w:before="0"/>
        <w:jc w:val="center"/>
      </w:pPr>
      <w:r>
        <w:rPr>
          <w:rFonts w:ascii="Aptos" w:hAnsi="Aptos"/>
          <w:b/>
          <w:i w:val="0"/>
          <w:color w:val="B78B3F"/>
          <w:sz w:val="18"/>
        </w:rPr>
        <w:t>PUBLISHING SYSTEM PLAYBOOK</w:t>
      </w:r>
    </w:p>
    <w:p>
      <w:pPr>
        <w:spacing w:before="300" w:after="160"/>
        <w:jc w:val="center"/>
      </w:pPr>
      <w:r>
        <w:rPr>
          <w:rFonts w:ascii="Georgia" w:hAnsi="Georgia"/>
          <w:b/>
          <w:i w:val="0"/>
          <w:color w:val="762631"/>
          <w:sz w:val="60"/>
        </w:rPr>
        <w:t>Audio-First Formats and Themed Pathways Playbook</w:t>
      </w:r>
    </w:p>
    <w:p>
      <w:pPr>
        <w:spacing w:after="480"/>
        <w:jc w:val="center"/>
      </w:pPr>
      <w:r>
        <w:rPr>
          <w:rFonts w:ascii="Georgia" w:hAnsi="Georgia"/>
          <w:b w:val="0"/>
          <w:i/>
          <w:color w:val="32181F"/>
          <w:sz w:val="28"/>
        </w:rPr>
        <w:t>A complete publishing, production, continuity, and premium-print system</w:t>
      </w:r>
    </w:p>
    <w:p>
      <w:pPr>
        <w:spacing w:before="200"/>
        <w:jc w:val="center"/>
      </w:pPr>
      <w:r>
        <w:rPr>
          <w:rFonts w:ascii="Aptos" w:hAnsi="Aptos"/>
          <w:b/>
          <w:i w:val="0"/>
          <w:color w:val="715F62"/>
          <w:sz w:val="18"/>
        </w:rPr>
        <w:t>Prepared for</w:t>
      </w:r>
    </w:p>
    <w:p>
      <w:pPr>
        <w:jc w:val="center"/>
      </w:pPr>
      <w:r>
        <w:rPr>
          <w:rFonts w:ascii="Georgia" w:hAnsi="Georgia"/>
          <w:b/>
          <w:i w:val="0"/>
          <w:color w:val="762631"/>
          <w:sz w:val="26"/>
        </w:rPr>
        <w:t>Dr. Sherry-Ann Brown, MD, PhD, FACC, FAHA</w:t>
      </w:r>
    </w:p>
    <w:p>
      <w:pPr>
        <w:jc w:val="center"/>
      </w:pPr>
      <w:r>
        <w:rPr>
          <w:rFonts w:ascii="Aptos" w:hAnsi="Aptos"/>
          <w:b/>
          <w:i w:val="0"/>
          <w:color w:val="B78B3F"/>
          <w:sz w:val="18"/>
        </w:rPr>
        <w:t>The MD PhD Prophet  |  The Spark Unfolding Book Club</w:t>
      </w:r>
    </w:p>
    <w:p>
      <w:pPr>
        <w:spacing w:before="160"/>
        <w:jc w:val="center"/>
      </w:pPr>
      <w:r>
        <w:rPr>
          <w:rFonts w:ascii="Aptos" w:hAnsi="Aptos"/>
          <w:b/>
          <w:i w:val="0"/>
          <w:color w:val="32181F"/>
          <w:sz w:val="16"/>
        </w:rPr>
        <w:t>COMPLETE  |  ACCURATE  |  READABLE  |  REFINED  |  PURPOSE-BUILT</w:t>
      </w:r>
    </w:p>
    <w:p>
      <w:r>
        <w:br w:type="page"/>
      </w:r>
    </w:p>
    <w:p>
      <w:pPr>
        <w:pStyle w:val="Heading1"/>
      </w:pPr>
      <w:r>
        <w:t>Purpose and governing decision</w:t>
      </w:r>
    </w:p>
    <w:p>
      <w:r>
        <w:rPr>
          <w:rFonts w:ascii="Aptos" w:hAnsi="Aptos"/>
          <w:b w:val="0"/>
          <w:i w:val="0"/>
          <w:color w:val="2F292B"/>
          <w:sz w:val="21"/>
        </w:rPr>
        <w:t>This playbook establishes a complete audio-first and digital-first publishing system across Dr. Sherry-Ann Brown’s book, Site, community, course, retreat, and premium collection ecosystem. It adds a strong format pathway without removing any existing work, narrowing any established audience, or replacing print. Every format performs a distinct role inside one coherent reader journey.</w:t>
      </w:r>
    </w:p>
    <w:tbl>
      <w:tblPr>
        <w:tblW w:type="dxa" w:w="9360"/>
        <w:jc w:val="center"/>
        <w:tblLayout w:type="fixed"/>
        <w:tblLook w:firstColumn="1" w:firstRow="1" w:lastColumn="0" w:lastRow="0" w:noHBand="0" w:noVBand="1" w:val="04A0"/>
        <w:tblInd w:w="140" w:type="dxa"/>
      </w:tblPr>
      <w:tblGrid>
        <w:gridCol w:w="9360"/>
      </w:tblGrid>
      <w:tr>
        <w:tc>
          <w:tcPr>
            <w:tcW w:type="dxa" w:w="9360"/>
            <w:tcMar>
              <w:top w:w="100" w:type="dxa"/>
              <w:start w:w="140" w:type="dxa"/>
              <w:bottom w:w="100" w:type="dxa"/>
              <w:end w:w="140" w:type="dxa"/>
            </w:tcMar>
            <w:shd w:fill="F5E4E4"/>
          </w:tcPr>
          <w:p>
            <w:r>
              <w:rPr>
                <w:rFonts w:ascii="Aptos" w:hAnsi="Aptos"/>
                <w:b/>
                <w:i w:val="0"/>
                <w:color w:val="B78B3F"/>
                <w:sz w:val="18"/>
              </w:rPr>
              <w:t xml:space="preserve">PUBLISHING DECISION  </w:t>
            </w:r>
            <w:r>
              <w:rPr>
                <w:rFonts w:ascii="Georgia" w:hAnsi="Georgia"/>
                <w:b w:val="0"/>
                <w:i/>
                <w:color w:val="32181F"/>
                <w:sz w:val="22"/>
              </w:rPr>
              <w:t>Lead with an audiobook and e-book bundle, pair every audiobook with a substantive digital reflection companion, and position hardcover print as a premium experience for depth, gifting, gathering, and legacy.</w:t>
            </w:r>
          </w:p>
        </w:tc>
      </w:tr>
    </w:tbl>
    <w:p/>
    <w:p>
      <w:pPr>
        <w:pStyle w:val="Heading2"/>
      </w:pPr>
      <w:r>
        <w:t>The system at a glance</w:t>
      </w:r>
    </w:p>
    <w:tbl>
      <w:tblPr>
        <w:tblStyle w:val="TableGrid"/>
        <w:tblW w:type="dxa" w:w="9360"/>
        <w:jc w:val="center"/>
        <w:tblLayout w:type="fixed"/>
        <w:tblLook w:firstColumn="1" w:firstRow="1" w:lastColumn="0" w:lastRow="0" w:noHBand="0" w:noVBand="1" w:val="04A0"/>
        <w:tblInd w:w="140" w:type="dxa"/>
      </w:tblPr>
      <w:tblGrid>
        <w:gridCol w:w="1700"/>
        <w:gridCol w:w="3800"/>
        <w:gridCol w:w="3860"/>
      </w:tblGrid>
      <w:tr>
        <w:trPr>
          <w:tblHeader w:val="true"/>
        </w:trPr>
        <w:tc>
          <w:tcPr>
            <w:tcW w:type="dxa" w:w="1700"/>
            <w:tcMar>
              <w:top w:w="100" w:type="dxa"/>
              <w:start w:w="140" w:type="dxa"/>
              <w:bottom w:w="100" w:type="dxa"/>
              <w:end w:w="140" w:type="dxa"/>
            </w:tcMar>
            <w:shd w:fill="762631"/>
            <w:vAlign w:val="center"/>
          </w:tcPr>
          <w:p>
            <w:r>
              <w:rPr>
                <w:rFonts w:ascii="Aptos" w:hAnsi="Aptos"/>
                <w:b/>
                <w:i w:val="0"/>
                <w:color w:val="FFFFFF"/>
                <w:sz w:val="18"/>
              </w:rPr>
              <w:t>Layer</w:t>
            </w:r>
          </w:p>
        </w:tc>
        <w:tc>
          <w:tcPr>
            <w:tcW w:type="dxa" w:w="3800"/>
            <w:tcMar>
              <w:top w:w="100" w:type="dxa"/>
              <w:start w:w="140" w:type="dxa"/>
              <w:bottom w:w="100" w:type="dxa"/>
              <w:end w:w="140" w:type="dxa"/>
            </w:tcMar>
            <w:shd w:fill="762631"/>
            <w:vAlign w:val="center"/>
          </w:tcPr>
          <w:p>
            <w:r>
              <w:rPr>
                <w:rFonts w:ascii="Aptos" w:hAnsi="Aptos"/>
                <w:b/>
                <w:i w:val="0"/>
                <w:color w:val="FFFFFF"/>
                <w:sz w:val="18"/>
              </w:rPr>
              <w:t>Reader receives</w:t>
            </w:r>
          </w:p>
        </w:tc>
        <w:tc>
          <w:tcPr>
            <w:tcW w:type="dxa" w:w="3860"/>
            <w:tcMar>
              <w:top w:w="100" w:type="dxa"/>
              <w:start w:w="140" w:type="dxa"/>
              <w:bottom w:w="100" w:type="dxa"/>
              <w:end w:w="140" w:type="dxa"/>
            </w:tcMar>
            <w:shd w:fill="762631"/>
            <w:vAlign w:val="center"/>
          </w:tcPr>
          <w:p>
            <w:r>
              <w:rPr>
                <w:rFonts w:ascii="Aptos" w:hAnsi="Aptos"/>
                <w:b/>
                <w:i w:val="0"/>
                <w:color w:val="FFFFFF"/>
                <w:sz w:val="18"/>
              </w:rPr>
              <w:t>Strategic role</w:t>
            </w:r>
          </w:p>
        </w:tc>
      </w:tr>
      <w:tr>
        <w:tc>
          <w:tcPr>
            <w:tcW w:type="dxa" w:w="1700"/>
            <w:vAlign w:val="center"/>
            <w:tcMar>
              <w:top w:w="100" w:type="dxa"/>
              <w:start w:w="140" w:type="dxa"/>
              <w:bottom w:w="100" w:type="dxa"/>
              <w:end w:w="140" w:type="dxa"/>
            </w:tcMar>
          </w:tcPr>
          <w:p>
            <w:r>
              <w:rPr>
                <w:rFonts w:ascii="Aptos" w:hAnsi="Aptos"/>
                <w:b w:val="0"/>
                <w:i w:val="0"/>
                <w:color w:val="2F292B"/>
                <w:sz w:val="18"/>
              </w:rPr>
              <w:t>Discovery</w:t>
            </w:r>
          </w:p>
        </w:tc>
        <w:tc>
          <w:tcPr>
            <w:tcW w:type="dxa" w:w="3800"/>
            <w:vAlign w:val="center"/>
            <w:tcMar>
              <w:top w:w="100" w:type="dxa"/>
              <w:start w:w="140" w:type="dxa"/>
              <w:bottom w:w="100" w:type="dxa"/>
              <w:end w:w="140" w:type="dxa"/>
            </w:tcMar>
          </w:tcPr>
          <w:p>
            <w:r>
              <w:rPr>
                <w:rFonts w:ascii="Aptos" w:hAnsi="Aptos"/>
                <w:b w:val="0"/>
                <w:i w:val="0"/>
                <w:color w:val="2F292B"/>
                <w:sz w:val="18"/>
              </w:rPr>
              <w:t>Short narrated excerpt, complete opening chapter, vertical video, pathway invitation</w:t>
            </w:r>
          </w:p>
        </w:tc>
        <w:tc>
          <w:tcPr>
            <w:tcW w:type="dxa" w:w="3860"/>
            <w:vAlign w:val="center"/>
            <w:tcMar>
              <w:top w:w="100" w:type="dxa"/>
              <w:start w:w="140" w:type="dxa"/>
              <w:bottom w:w="100" w:type="dxa"/>
              <w:end w:w="140" w:type="dxa"/>
            </w:tcMar>
          </w:tcPr>
          <w:p>
            <w:r>
              <w:rPr>
                <w:rFonts w:ascii="Aptos" w:hAnsi="Aptos"/>
                <w:b w:val="0"/>
                <w:i w:val="0"/>
                <w:color w:val="2F292B"/>
                <w:sz w:val="18"/>
              </w:rPr>
              <w:t>Recognition and low-friction entry</w:t>
            </w:r>
          </w:p>
        </w:tc>
      </w:tr>
      <w:tr>
        <w:tc>
          <w:tcPr>
            <w:tcW w:type="dxa" w:w="1700"/>
            <w:vAlign w:val="center"/>
            <w:tcMar>
              <w:top w:w="100" w:type="dxa"/>
              <w:start w:w="140" w:type="dxa"/>
              <w:bottom w:w="100" w:type="dxa"/>
              <w:end w:w="140" w:type="dxa"/>
            </w:tcMar>
          </w:tcPr>
          <w:p>
            <w:r>
              <w:rPr>
                <w:rFonts w:ascii="Aptos" w:hAnsi="Aptos"/>
                <w:b w:val="0"/>
                <w:i w:val="0"/>
                <w:color w:val="2F292B"/>
                <w:sz w:val="18"/>
              </w:rPr>
              <w:t>Core bundle</w:t>
            </w:r>
          </w:p>
        </w:tc>
        <w:tc>
          <w:tcPr>
            <w:tcW w:type="dxa" w:w="3800"/>
            <w:vAlign w:val="center"/>
            <w:tcMar>
              <w:top w:w="100" w:type="dxa"/>
              <w:start w:w="140" w:type="dxa"/>
              <w:bottom w:w="100" w:type="dxa"/>
              <w:end w:w="140" w:type="dxa"/>
            </w:tcMar>
          </w:tcPr>
          <w:p>
            <w:r>
              <w:rPr>
                <w:rFonts w:ascii="Aptos" w:hAnsi="Aptos"/>
                <w:b w:val="0"/>
                <w:i w:val="0"/>
                <w:color w:val="2F292B"/>
                <w:sz w:val="18"/>
              </w:rPr>
              <w:t>Complete audiobook, accessible e-book, digital reflection companion</w:t>
            </w:r>
          </w:p>
        </w:tc>
        <w:tc>
          <w:tcPr>
            <w:tcW w:type="dxa" w:w="3860"/>
            <w:vAlign w:val="center"/>
            <w:tcMar>
              <w:top w:w="100" w:type="dxa"/>
              <w:start w:w="140" w:type="dxa"/>
              <w:bottom w:w="100" w:type="dxa"/>
              <w:end w:w="140" w:type="dxa"/>
            </w:tcMar>
          </w:tcPr>
          <w:p>
            <w:r>
              <w:rPr>
                <w:rFonts w:ascii="Aptos" w:hAnsi="Aptos"/>
                <w:b w:val="0"/>
                <w:i w:val="0"/>
                <w:color w:val="2F292B"/>
                <w:sz w:val="18"/>
              </w:rPr>
              <w:t>Portable learning, return, and applied reflection</w:t>
            </w:r>
          </w:p>
        </w:tc>
      </w:tr>
      <w:tr>
        <w:tc>
          <w:tcPr>
            <w:tcW w:type="dxa" w:w="1700"/>
            <w:vAlign w:val="center"/>
            <w:tcMar>
              <w:top w:w="100" w:type="dxa"/>
              <w:start w:w="140" w:type="dxa"/>
              <w:bottom w:w="100" w:type="dxa"/>
              <w:end w:w="140" w:type="dxa"/>
            </w:tcMar>
          </w:tcPr>
          <w:p>
            <w:r>
              <w:rPr>
                <w:rFonts w:ascii="Aptos" w:hAnsi="Aptos"/>
                <w:b w:val="0"/>
                <w:i w:val="0"/>
                <w:color w:val="2F292B"/>
                <w:sz w:val="18"/>
              </w:rPr>
              <w:t>Continuity</w:t>
            </w:r>
          </w:p>
        </w:tc>
        <w:tc>
          <w:tcPr>
            <w:tcW w:type="dxa" w:w="3800"/>
            <w:vAlign w:val="center"/>
            <w:tcMar>
              <w:top w:w="100" w:type="dxa"/>
              <w:start w:w="140" w:type="dxa"/>
              <w:bottom w:w="100" w:type="dxa"/>
              <w:end w:w="140" w:type="dxa"/>
            </w:tcMar>
          </w:tcPr>
          <w:p>
            <w:r>
              <w:rPr>
                <w:rFonts w:ascii="Aptos" w:hAnsi="Aptos"/>
                <w:b w:val="0"/>
                <w:i w:val="0"/>
                <w:color w:val="2F292B"/>
                <w:sz w:val="18"/>
              </w:rPr>
              <w:t>Monthly guided audio, book-club circle, founder letter, next-step practice</w:t>
            </w:r>
          </w:p>
        </w:tc>
        <w:tc>
          <w:tcPr>
            <w:tcW w:type="dxa" w:w="3860"/>
            <w:vAlign w:val="center"/>
            <w:tcMar>
              <w:top w:w="100" w:type="dxa"/>
              <w:start w:w="140" w:type="dxa"/>
              <w:bottom w:w="100" w:type="dxa"/>
              <w:end w:w="140" w:type="dxa"/>
            </w:tcMar>
          </w:tcPr>
          <w:p>
            <w:r>
              <w:rPr>
                <w:rFonts w:ascii="Aptos" w:hAnsi="Aptos"/>
                <w:b w:val="0"/>
                <w:i w:val="0"/>
                <w:color w:val="2F292B"/>
                <w:sz w:val="18"/>
              </w:rPr>
              <w:t>Relationship, rhythm, and supported integration</w:t>
            </w:r>
          </w:p>
        </w:tc>
      </w:tr>
      <w:tr>
        <w:tc>
          <w:tcPr>
            <w:tcW w:type="dxa" w:w="1700"/>
            <w:vAlign w:val="center"/>
            <w:tcMar>
              <w:top w:w="100" w:type="dxa"/>
              <w:start w:w="140" w:type="dxa"/>
              <w:bottom w:w="100" w:type="dxa"/>
              <w:end w:w="140" w:type="dxa"/>
            </w:tcMar>
          </w:tcPr>
          <w:p>
            <w:r>
              <w:rPr>
                <w:rFonts w:ascii="Aptos" w:hAnsi="Aptos"/>
                <w:b w:val="0"/>
                <w:i w:val="0"/>
                <w:color w:val="2F292B"/>
                <w:sz w:val="18"/>
              </w:rPr>
              <w:t>Expansion</w:t>
            </w:r>
          </w:p>
        </w:tc>
        <w:tc>
          <w:tcPr>
            <w:tcW w:type="dxa" w:w="3800"/>
            <w:vAlign w:val="center"/>
            <w:tcMar>
              <w:top w:w="100" w:type="dxa"/>
              <w:start w:w="140" w:type="dxa"/>
              <w:bottom w:w="100" w:type="dxa"/>
              <w:end w:w="140" w:type="dxa"/>
            </w:tcMar>
          </w:tcPr>
          <w:p>
            <w:r>
              <w:rPr>
                <w:rFonts w:ascii="Aptos" w:hAnsi="Aptos"/>
                <w:b w:val="0"/>
                <w:i w:val="0"/>
                <w:color w:val="2F292B"/>
                <w:sz w:val="18"/>
              </w:rPr>
              <w:t>Course, cohort, retreat, professional circle, organization program</w:t>
            </w:r>
          </w:p>
        </w:tc>
        <w:tc>
          <w:tcPr>
            <w:tcW w:type="dxa" w:w="3860"/>
            <w:vAlign w:val="center"/>
            <w:tcMar>
              <w:top w:w="100" w:type="dxa"/>
              <w:start w:w="140" w:type="dxa"/>
              <w:bottom w:w="100" w:type="dxa"/>
              <w:end w:w="140" w:type="dxa"/>
            </w:tcMar>
          </w:tcPr>
          <w:p>
            <w:r>
              <w:rPr>
                <w:rFonts w:ascii="Aptos" w:hAnsi="Aptos"/>
                <w:b w:val="0"/>
                <w:i w:val="0"/>
                <w:color w:val="2F292B"/>
                <w:sz w:val="18"/>
              </w:rPr>
              <w:t>Facilitated formation and deeper application</w:t>
            </w:r>
          </w:p>
        </w:tc>
      </w:tr>
      <w:tr>
        <w:tc>
          <w:tcPr>
            <w:tcW w:type="dxa" w:w="1700"/>
            <w:vAlign w:val="center"/>
            <w:tcMar>
              <w:top w:w="100" w:type="dxa"/>
              <w:start w:w="140" w:type="dxa"/>
              <w:bottom w:w="100" w:type="dxa"/>
              <w:end w:w="140" w:type="dxa"/>
            </w:tcMar>
          </w:tcPr>
          <w:p>
            <w:r>
              <w:rPr>
                <w:rFonts w:ascii="Aptos" w:hAnsi="Aptos"/>
                <w:b w:val="0"/>
                <w:i w:val="0"/>
                <w:color w:val="2F292B"/>
                <w:sz w:val="18"/>
              </w:rPr>
              <w:t>Premium print</w:t>
            </w:r>
          </w:p>
        </w:tc>
        <w:tc>
          <w:tcPr>
            <w:tcW w:type="dxa" w:w="3800"/>
            <w:vAlign w:val="center"/>
            <w:tcMar>
              <w:top w:w="100" w:type="dxa"/>
              <w:start w:w="140" w:type="dxa"/>
              <w:bottom w:w="100" w:type="dxa"/>
              <w:end w:w="140" w:type="dxa"/>
            </w:tcMar>
          </w:tcPr>
          <w:p>
            <w:r>
              <w:rPr>
                <w:rFonts w:ascii="Aptos" w:hAnsi="Aptos"/>
                <w:b w:val="0"/>
                <w:i w:val="0"/>
                <w:color w:val="2F292B"/>
                <w:sz w:val="18"/>
              </w:rPr>
              <w:t>Hardcover, signed or commemorative edition, keepsake companion</w:t>
            </w:r>
          </w:p>
        </w:tc>
        <w:tc>
          <w:tcPr>
            <w:tcW w:type="dxa" w:w="3860"/>
            <w:vAlign w:val="center"/>
            <w:tcMar>
              <w:top w:w="100" w:type="dxa"/>
              <w:start w:w="140" w:type="dxa"/>
              <w:bottom w:w="100" w:type="dxa"/>
              <w:end w:w="140" w:type="dxa"/>
            </w:tcMar>
          </w:tcPr>
          <w:p>
            <w:r>
              <w:rPr>
                <w:rFonts w:ascii="Aptos" w:hAnsi="Aptos"/>
                <w:b w:val="0"/>
                <w:i w:val="0"/>
                <w:color w:val="2F292B"/>
                <w:sz w:val="18"/>
              </w:rPr>
              <w:t>Tactile depth, gift value, gathering, and personal library</w:t>
            </w:r>
          </w:p>
        </w:tc>
      </w:tr>
    </w:tbl>
    <w:p/>
    <w:p>
      <w:pPr>
        <w:pStyle w:val="Heading2"/>
      </w:pPr>
      <w:r>
        <w:t>Non-negotiable standards</w:t>
      </w:r>
    </w:p>
    <w:p>
      <w:pPr>
        <w:pStyle w:val="ListBullet"/>
      </w:pPr>
      <w:r>
        <w:rPr>
          <w:rFonts w:ascii="Aptos" w:hAnsi="Aptos"/>
          <w:b w:val="0"/>
          <w:i w:val="0"/>
          <w:color w:val="2F292B"/>
          <w:sz w:val="21"/>
        </w:rPr>
        <w:t>Preserve all current books, routes, resources, audiences, legal pages, permissions, and established identities.</w:t>
      </w:r>
    </w:p>
    <w:p>
      <w:pPr>
        <w:pStyle w:val="ListBullet"/>
      </w:pPr>
      <w:r>
        <w:rPr>
          <w:rFonts w:ascii="Aptos" w:hAnsi="Aptos"/>
          <w:b w:val="0"/>
          <w:i w:val="0"/>
          <w:color w:val="2F292B"/>
          <w:sz w:val="21"/>
        </w:rPr>
        <w:t>Use Dr. Brown’s human voice for signature narration, prayers, founder letters, testimony, transitions, and emotionally nuanced passages.</w:t>
      </w:r>
    </w:p>
    <w:p>
      <w:pPr>
        <w:pStyle w:val="ListBullet"/>
      </w:pPr>
      <w:r>
        <w:rPr>
          <w:rFonts w:ascii="Aptos" w:hAnsi="Aptos"/>
          <w:b w:val="0"/>
          <w:i w:val="0"/>
          <w:color w:val="2F292B"/>
          <w:sz w:val="21"/>
        </w:rPr>
        <w:t>Keep evidence, personal testimony, interpretation, recommendation, aspiration, and spiritual discernment clearly distinguishable.</w:t>
      </w:r>
    </w:p>
    <w:p>
      <w:pPr>
        <w:pStyle w:val="ListBullet"/>
      </w:pPr>
      <w:r>
        <w:rPr>
          <w:rFonts w:ascii="Aptos" w:hAnsi="Aptos"/>
          <w:b w:val="0"/>
          <w:i w:val="0"/>
          <w:color w:val="2F292B"/>
          <w:sz w:val="21"/>
        </w:rPr>
        <w:t>Do not place protected health information, identifying clinical narratives, confidential workplace material, or private third-party stories into public or group resources.</w:t>
      </w:r>
    </w:p>
    <w:p>
      <w:pPr>
        <w:pStyle w:val="ListBullet"/>
      </w:pPr>
      <w:r>
        <w:rPr>
          <w:rFonts w:ascii="Aptos" w:hAnsi="Aptos"/>
          <w:b w:val="0"/>
          <w:i w:val="0"/>
          <w:color w:val="2F292B"/>
          <w:sz w:val="21"/>
        </w:rPr>
        <w:t>Publish editable masters and synchronized fixed-format files. Verify every page, every link, every audio chapter, and every transcript before release.</w:t>
      </w:r>
    </w:p>
    <w:p>
      <w:r>
        <w:br w:type="page"/>
      </w:r>
    </w:p>
    <w:p>
      <w:pPr>
        <w:pStyle w:val="Heading1"/>
      </w:pPr>
      <w:r>
        <w:t>1. The signature format architecture</w:t>
      </w:r>
    </w:p>
    <w:p>
      <w:pPr>
        <w:pStyle w:val="Heading2"/>
      </w:pPr>
      <w:r>
        <w:t>The core bundle</w:t>
      </w:r>
    </w:p>
    <w:tbl>
      <w:tblPr>
        <w:tblStyle w:val="TableGrid"/>
        <w:tblW w:type="dxa" w:w="9360"/>
        <w:jc w:val="center"/>
        <w:tblLayout w:type="fixed"/>
        <w:tblLook w:firstColumn="1" w:firstRow="1" w:lastColumn="0" w:lastRow="0" w:noHBand="0" w:noVBand="1" w:val="04A0"/>
        <w:tblInd w:w="140" w:type="dxa"/>
      </w:tblPr>
      <w:tblGrid>
        <w:gridCol w:w="1550"/>
        <w:gridCol w:w="4700"/>
        <w:gridCol w:w="3110"/>
      </w:tblGrid>
      <w:tr>
        <w:trPr>
          <w:tblHeader w:val="true"/>
        </w:trPr>
        <w:tc>
          <w:tcPr>
            <w:tcW w:type="dxa" w:w="1550"/>
            <w:tcMar>
              <w:top w:w="100" w:type="dxa"/>
              <w:start w:w="140" w:type="dxa"/>
              <w:bottom w:w="100" w:type="dxa"/>
              <w:end w:w="140" w:type="dxa"/>
            </w:tcMar>
            <w:shd w:fill="762631"/>
            <w:vAlign w:val="center"/>
          </w:tcPr>
          <w:p>
            <w:r>
              <w:rPr>
                <w:rFonts w:ascii="Aptos" w:hAnsi="Aptos"/>
                <w:b/>
                <w:i w:val="0"/>
                <w:color w:val="FFFFFF"/>
                <w:sz w:val="18"/>
              </w:rPr>
              <w:t>Component</w:t>
            </w:r>
          </w:p>
        </w:tc>
        <w:tc>
          <w:tcPr>
            <w:tcW w:type="dxa" w:w="4700"/>
            <w:tcMar>
              <w:top w:w="100" w:type="dxa"/>
              <w:start w:w="140" w:type="dxa"/>
              <w:bottom w:w="100" w:type="dxa"/>
              <w:end w:w="140" w:type="dxa"/>
            </w:tcMar>
            <w:shd w:fill="762631"/>
            <w:vAlign w:val="center"/>
          </w:tcPr>
          <w:p>
            <w:r>
              <w:rPr>
                <w:rFonts w:ascii="Aptos" w:hAnsi="Aptos"/>
                <w:b/>
                <w:i w:val="0"/>
                <w:color w:val="FFFFFF"/>
                <w:sz w:val="18"/>
              </w:rPr>
              <w:t>Complete contents</w:t>
            </w:r>
          </w:p>
        </w:tc>
        <w:tc>
          <w:tcPr>
            <w:tcW w:type="dxa" w:w="3110"/>
            <w:tcMar>
              <w:top w:w="100" w:type="dxa"/>
              <w:start w:w="140" w:type="dxa"/>
              <w:bottom w:w="100" w:type="dxa"/>
              <w:end w:w="140" w:type="dxa"/>
            </w:tcMar>
            <w:shd w:fill="762631"/>
            <w:vAlign w:val="center"/>
          </w:tcPr>
          <w:p>
            <w:r>
              <w:rPr>
                <w:rFonts w:ascii="Aptos" w:hAnsi="Aptos"/>
                <w:b/>
                <w:i w:val="0"/>
                <w:color w:val="FFFFFF"/>
                <w:sz w:val="18"/>
              </w:rPr>
              <w:t>Reader benefit</w:t>
            </w:r>
          </w:p>
        </w:tc>
      </w:tr>
      <w:tr>
        <w:tc>
          <w:tcPr>
            <w:tcW w:type="dxa" w:w="1550"/>
            <w:vAlign w:val="center"/>
            <w:tcMar>
              <w:top w:w="100" w:type="dxa"/>
              <w:start w:w="140" w:type="dxa"/>
              <w:bottom w:w="100" w:type="dxa"/>
              <w:end w:w="140" w:type="dxa"/>
            </w:tcMar>
          </w:tcPr>
          <w:p>
            <w:r>
              <w:rPr>
                <w:rFonts w:ascii="Aptos" w:hAnsi="Aptos"/>
                <w:b w:val="0"/>
                <w:i w:val="0"/>
                <w:color w:val="2F292B"/>
                <w:sz w:val="18"/>
              </w:rPr>
              <w:t>Audiobook</w:t>
            </w:r>
          </w:p>
        </w:tc>
        <w:tc>
          <w:tcPr>
            <w:tcW w:type="dxa" w:w="4700"/>
            <w:vAlign w:val="center"/>
            <w:tcMar>
              <w:top w:w="100" w:type="dxa"/>
              <w:start w:w="140" w:type="dxa"/>
              <w:bottom w:w="100" w:type="dxa"/>
              <w:end w:w="140" w:type="dxa"/>
            </w:tcMar>
          </w:tcPr>
          <w:p>
            <w:r>
              <w:rPr>
                <w:rFonts w:ascii="Aptos" w:hAnsi="Aptos"/>
                <w:b w:val="0"/>
                <w:i w:val="0"/>
                <w:color w:val="2F292B"/>
                <w:sz w:val="18"/>
              </w:rPr>
              <w:t>Narrated opening, 12–20 minute chapters, Scripture spoken with reference, pauses, closing practice, credits</w:t>
            </w:r>
          </w:p>
        </w:tc>
        <w:tc>
          <w:tcPr>
            <w:tcW w:type="dxa" w:w="3110"/>
            <w:vAlign w:val="center"/>
            <w:tcMar>
              <w:top w:w="100" w:type="dxa"/>
              <w:start w:w="140" w:type="dxa"/>
              <w:bottom w:w="100" w:type="dxa"/>
              <w:end w:w="140" w:type="dxa"/>
            </w:tcMar>
          </w:tcPr>
          <w:p>
            <w:r>
              <w:rPr>
                <w:rFonts w:ascii="Aptos" w:hAnsi="Aptos"/>
                <w:b w:val="0"/>
                <w:i w:val="0"/>
                <w:color w:val="2F292B"/>
                <w:sz w:val="18"/>
              </w:rPr>
              <w:t>Warmth, mobility, emotional nuance, reduced screen dependence</w:t>
            </w:r>
          </w:p>
        </w:tc>
      </w:tr>
      <w:tr>
        <w:tc>
          <w:tcPr>
            <w:tcW w:type="dxa" w:w="1550"/>
            <w:vAlign w:val="center"/>
            <w:tcMar>
              <w:top w:w="100" w:type="dxa"/>
              <w:start w:w="140" w:type="dxa"/>
              <w:bottom w:w="100" w:type="dxa"/>
              <w:end w:w="140" w:type="dxa"/>
            </w:tcMar>
          </w:tcPr>
          <w:p>
            <w:r>
              <w:rPr>
                <w:rFonts w:ascii="Aptos" w:hAnsi="Aptos"/>
                <w:b w:val="0"/>
                <w:i w:val="0"/>
                <w:color w:val="2F292B"/>
                <w:sz w:val="18"/>
              </w:rPr>
              <w:t>E-book</w:t>
            </w:r>
          </w:p>
        </w:tc>
        <w:tc>
          <w:tcPr>
            <w:tcW w:type="dxa" w:w="4700"/>
            <w:vAlign w:val="center"/>
            <w:tcMar>
              <w:top w:w="100" w:type="dxa"/>
              <w:start w:w="140" w:type="dxa"/>
              <w:bottom w:w="100" w:type="dxa"/>
              <w:end w:w="140" w:type="dxa"/>
            </w:tcMar>
          </w:tcPr>
          <w:p>
            <w:r>
              <w:rPr>
                <w:rFonts w:ascii="Aptos" w:hAnsi="Aptos"/>
                <w:b w:val="0"/>
                <w:i w:val="0"/>
                <w:color w:val="2F292B"/>
                <w:sz w:val="18"/>
              </w:rPr>
              <w:t>Accessible reflowable text, linked contents, searchable headings, notes, source record, resource links</w:t>
            </w:r>
          </w:p>
        </w:tc>
        <w:tc>
          <w:tcPr>
            <w:tcW w:type="dxa" w:w="3110"/>
            <w:vAlign w:val="center"/>
            <w:tcMar>
              <w:top w:w="100" w:type="dxa"/>
              <w:start w:w="140" w:type="dxa"/>
              <w:bottom w:w="100" w:type="dxa"/>
              <w:end w:w="140" w:type="dxa"/>
            </w:tcMar>
          </w:tcPr>
          <w:p>
            <w:r>
              <w:rPr>
                <w:rFonts w:ascii="Aptos" w:hAnsi="Aptos"/>
                <w:b w:val="0"/>
                <w:i w:val="0"/>
                <w:color w:val="2F292B"/>
                <w:sz w:val="18"/>
              </w:rPr>
              <w:t>Immediate access, search, adjustable type, return to key passages</w:t>
            </w:r>
          </w:p>
        </w:tc>
      </w:tr>
      <w:tr>
        <w:tc>
          <w:tcPr>
            <w:tcW w:type="dxa" w:w="1550"/>
            <w:vAlign w:val="center"/>
            <w:tcMar>
              <w:top w:w="100" w:type="dxa"/>
              <w:start w:w="140" w:type="dxa"/>
              <w:bottom w:w="100" w:type="dxa"/>
              <w:end w:w="140" w:type="dxa"/>
            </w:tcMar>
          </w:tcPr>
          <w:p>
            <w:r>
              <w:rPr>
                <w:rFonts w:ascii="Aptos" w:hAnsi="Aptos"/>
                <w:b w:val="0"/>
                <w:i w:val="0"/>
                <w:color w:val="2F292B"/>
                <w:sz w:val="18"/>
              </w:rPr>
              <w:t>Reflection companion</w:t>
            </w:r>
          </w:p>
        </w:tc>
        <w:tc>
          <w:tcPr>
            <w:tcW w:type="dxa" w:w="4700"/>
            <w:vAlign w:val="center"/>
            <w:tcMar>
              <w:top w:w="100" w:type="dxa"/>
              <w:start w:w="140" w:type="dxa"/>
              <w:bottom w:w="100" w:type="dxa"/>
              <w:end w:w="140" w:type="dxa"/>
            </w:tcMar>
          </w:tcPr>
          <w:p>
            <w:r>
              <w:rPr>
                <w:rFonts w:ascii="Aptos" w:hAnsi="Aptos"/>
                <w:b w:val="0"/>
                <w:i w:val="0"/>
                <w:color w:val="2F292B"/>
                <w:sz w:val="18"/>
              </w:rPr>
              <w:t>Scriptures, prompts, exercises, prayers, journaling space, next actions, progress review</w:t>
            </w:r>
          </w:p>
        </w:tc>
        <w:tc>
          <w:tcPr>
            <w:tcW w:type="dxa" w:w="3110"/>
            <w:vAlign w:val="center"/>
            <w:tcMar>
              <w:top w:w="100" w:type="dxa"/>
              <w:start w:w="140" w:type="dxa"/>
              <w:bottom w:w="100" w:type="dxa"/>
              <w:end w:w="140" w:type="dxa"/>
            </w:tcMar>
          </w:tcPr>
          <w:p>
            <w:r>
              <w:rPr>
                <w:rFonts w:ascii="Aptos" w:hAnsi="Aptos"/>
                <w:b w:val="0"/>
                <w:i w:val="0"/>
                <w:color w:val="2F292B"/>
                <w:sz w:val="18"/>
              </w:rPr>
              <w:t>Turns listening into discernment and action</w:t>
            </w:r>
          </w:p>
        </w:tc>
      </w:tr>
      <w:tr>
        <w:tc>
          <w:tcPr>
            <w:tcW w:type="dxa" w:w="1550"/>
            <w:vAlign w:val="center"/>
            <w:tcMar>
              <w:top w:w="100" w:type="dxa"/>
              <w:start w:w="140" w:type="dxa"/>
              <w:bottom w:w="100" w:type="dxa"/>
              <w:end w:w="140" w:type="dxa"/>
            </w:tcMar>
          </w:tcPr>
          <w:p>
            <w:r>
              <w:rPr>
                <w:rFonts w:ascii="Aptos" w:hAnsi="Aptos"/>
                <w:b w:val="0"/>
                <w:i w:val="0"/>
                <w:color w:val="2F292B"/>
                <w:sz w:val="18"/>
              </w:rPr>
              <w:t>Transcript</w:t>
            </w:r>
          </w:p>
        </w:tc>
        <w:tc>
          <w:tcPr>
            <w:tcW w:type="dxa" w:w="4700"/>
            <w:vAlign w:val="center"/>
            <w:tcMar>
              <w:top w:w="100" w:type="dxa"/>
              <w:start w:w="140" w:type="dxa"/>
              <w:bottom w:w="100" w:type="dxa"/>
              <w:end w:w="140" w:type="dxa"/>
            </w:tcMar>
          </w:tcPr>
          <w:p>
            <w:r>
              <w:rPr>
                <w:rFonts w:ascii="Aptos" w:hAnsi="Aptos"/>
                <w:b w:val="0"/>
                <w:i w:val="0"/>
                <w:color w:val="2F292B"/>
                <w:sz w:val="18"/>
              </w:rPr>
              <w:t>Verbatim synchronized chapter text with speaker labels and meaningful non-speech cues</w:t>
            </w:r>
          </w:p>
        </w:tc>
        <w:tc>
          <w:tcPr>
            <w:tcW w:type="dxa" w:w="3110"/>
            <w:vAlign w:val="center"/>
            <w:tcMar>
              <w:top w:w="100" w:type="dxa"/>
              <w:start w:w="140" w:type="dxa"/>
              <w:bottom w:w="100" w:type="dxa"/>
              <w:end w:w="140" w:type="dxa"/>
            </w:tcMar>
          </w:tcPr>
          <w:p>
            <w:r>
              <w:rPr>
                <w:rFonts w:ascii="Aptos" w:hAnsi="Aptos"/>
                <w:b w:val="0"/>
                <w:i w:val="0"/>
                <w:color w:val="2F292B"/>
                <w:sz w:val="18"/>
              </w:rPr>
              <w:t>Accessibility, search, quotation review, and alternate engagement</w:t>
            </w:r>
          </w:p>
        </w:tc>
      </w:tr>
      <w:tr>
        <w:tc>
          <w:tcPr>
            <w:tcW w:type="dxa" w:w="1550"/>
            <w:vAlign w:val="center"/>
            <w:tcMar>
              <w:top w:w="100" w:type="dxa"/>
              <w:start w:w="140" w:type="dxa"/>
              <w:bottom w:w="100" w:type="dxa"/>
              <w:end w:w="140" w:type="dxa"/>
            </w:tcMar>
          </w:tcPr>
          <w:p>
            <w:r>
              <w:rPr>
                <w:rFonts w:ascii="Aptos" w:hAnsi="Aptos"/>
                <w:b w:val="0"/>
                <w:i w:val="0"/>
                <w:color w:val="2F292B"/>
                <w:sz w:val="18"/>
              </w:rPr>
              <w:t>Quick-start card</w:t>
            </w:r>
          </w:p>
        </w:tc>
        <w:tc>
          <w:tcPr>
            <w:tcW w:type="dxa" w:w="4700"/>
            <w:vAlign w:val="center"/>
            <w:tcMar>
              <w:top w:w="100" w:type="dxa"/>
              <w:start w:w="140" w:type="dxa"/>
              <w:bottom w:w="100" w:type="dxa"/>
              <w:end w:w="140" w:type="dxa"/>
            </w:tcMar>
          </w:tcPr>
          <w:p>
            <w:r>
              <w:rPr>
                <w:rFonts w:ascii="Aptos" w:hAnsi="Aptos"/>
                <w:b w:val="0"/>
                <w:i w:val="0"/>
                <w:color w:val="2F292B"/>
                <w:sz w:val="18"/>
              </w:rPr>
              <w:t>How to choose a rhythm, confidentiality reminder, four-movement method</w:t>
            </w:r>
          </w:p>
        </w:tc>
        <w:tc>
          <w:tcPr>
            <w:tcW w:type="dxa" w:w="3110"/>
            <w:vAlign w:val="center"/>
            <w:tcMar>
              <w:top w:w="100" w:type="dxa"/>
              <w:start w:w="140" w:type="dxa"/>
              <w:bottom w:w="100" w:type="dxa"/>
              <w:end w:w="140" w:type="dxa"/>
            </w:tcMar>
          </w:tcPr>
          <w:p>
            <w:r>
              <w:rPr>
                <w:rFonts w:ascii="Aptos" w:hAnsi="Aptos"/>
                <w:b w:val="0"/>
                <w:i w:val="0"/>
                <w:color w:val="2F292B"/>
                <w:sz w:val="18"/>
              </w:rPr>
              <w:t>Reduces friction at the beginning</w:t>
            </w:r>
          </w:p>
        </w:tc>
      </w:tr>
    </w:tbl>
    <w:p/>
    <w:p>
      <w:pPr>
        <w:pStyle w:val="Heading2"/>
      </w:pPr>
      <w:r>
        <w:t>Recommended commercial forms</w:t>
      </w:r>
    </w:p>
    <w:p>
      <w:pPr>
        <w:pStyle w:val="ListBullet"/>
      </w:pPr>
      <w:r>
        <w:rPr>
          <w:rFonts w:ascii="Aptos" w:hAnsi="Aptos"/>
          <w:b w:val="0"/>
          <w:i w:val="0"/>
          <w:color w:val="2F292B"/>
          <w:sz w:val="21"/>
        </w:rPr>
        <w:t>Essential Bundle: e-book, audiobook, transcript, and digital reflection companion.</w:t>
      </w:r>
    </w:p>
    <w:p>
      <w:pPr>
        <w:pStyle w:val="ListBullet"/>
      </w:pPr>
      <w:r>
        <w:rPr>
          <w:rFonts w:ascii="Aptos" w:hAnsi="Aptos"/>
          <w:b w:val="0"/>
          <w:i w:val="0"/>
          <w:color w:val="2F292B"/>
          <w:sz w:val="21"/>
        </w:rPr>
        <w:t>Circle Bundle: Essential Bundle plus facilitator guide, discussion plan, participation covenant, and private gathering materials.</w:t>
      </w:r>
    </w:p>
    <w:p>
      <w:pPr>
        <w:pStyle w:val="ListBullet"/>
      </w:pPr>
      <w:r>
        <w:rPr>
          <w:rFonts w:ascii="Aptos" w:hAnsi="Aptos"/>
          <w:b w:val="0"/>
          <w:i w:val="0"/>
          <w:color w:val="2F292B"/>
          <w:sz w:val="21"/>
        </w:rPr>
        <w:t>Premium Library Edition: hardcover, signed or commemorative insert, companion, audiobook access, and archival presentation.</w:t>
      </w:r>
    </w:p>
    <w:p>
      <w:pPr>
        <w:pStyle w:val="ListBullet"/>
      </w:pPr>
      <w:r>
        <w:rPr>
          <w:rFonts w:ascii="Aptos" w:hAnsi="Aptos"/>
          <w:b w:val="0"/>
          <w:i w:val="0"/>
          <w:color w:val="2F292B"/>
          <w:sz w:val="21"/>
        </w:rPr>
        <w:t>Organization Edition: licensed cohort access, facilitator preparation, safeguarding language, privacy boundaries, and optional author session.</w:t>
      </w:r>
    </w:p>
    <w:p>
      <w:pPr>
        <w:pStyle w:val="Heading2"/>
      </w:pPr>
      <w:r>
        <w:t>Format promise</w:t>
      </w:r>
    </w:p>
    <w:tbl>
      <w:tblPr>
        <w:tblW w:type="dxa" w:w="9360"/>
        <w:jc w:val="center"/>
        <w:tblLayout w:type="fixed"/>
        <w:tblLook w:firstColumn="1" w:firstRow="1" w:lastColumn="0" w:lastRow="0" w:noHBand="0" w:noVBand="1" w:val="04A0"/>
        <w:tblInd w:w="140" w:type="dxa"/>
      </w:tblPr>
      <w:tblGrid>
        <w:gridCol w:w="9360"/>
      </w:tblGrid>
      <w:tr>
        <w:tc>
          <w:tcPr>
            <w:tcW w:type="dxa" w:w="9360"/>
            <w:tcMar>
              <w:top w:w="100" w:type="dxa"/>
              <w:start w:w="140" w:type="dxa"/>
              <w:bottom w:w="100" w:type="dxa"/>
              <w:end w:w="140" w:type="dxa"/>
            </w:tcMar>
            <w:shd w:fill="F5E4E4"/>
          </w:tcPr>
          <w:p>
            <w:r>
              <w:rPr>
                <w:rFonts w:ascii="Aptos" w:hAnsi="Aptos"/>
                <w:b/>
                <w:i w:val="0"/>
                <w:color w:val="B78B3F"/>
                <w:sz w:val="18"/>
              </w:rPr>
              <w:t xml:space="preserve">READER PROMISE  </w:t>
            </w:r>
            <w:r>
              <w:rPr>
                <w:rFonts w:ascii="Georgia" w:hAnsi="Georgia"/>
                <w:b w:val="0"/>
                <w:i/>
                <w:color w:val="32181F"/>
                <w:sz w:val="22"/>
              </w:rPr>
              <w:t>Read when you need to search and see. Listen when life is moving. Write when meaning needs room. Gather when discernment benefits from generous community. Keep print when the work deserves a lasting place in your library.</w:t>
            </w:r>
          </w:p>
        </w:tc>
      </w:tr>
    </w:tbl>
    <w:p/>
    <w:p>
      <w:pPr>
        <w:pStyle w:val="Heading1"/>
      </w:pPr>
      <w:r>
        <w:t>2. The 12–20 minute listening chapter</w:t>
      </w:r>
    </w:p>
    <w:p>
      <w:r>
        <w:rPr>
          <w:rFonts w:ascii="Aptos" w:hAnsi="Aptos"/>
          <w:b w:val="0"/>
          <w:i w:val="0"/>
          <w:color w:val="2F292B"/>
          <w:sz w:val="21"/>
        </w:rPr>
        <w:t>A concise chapter respects commuting, walking, household rhythms, clinical and professional transitions, prayer time, and screen-free reflection. Each chapter must still feel complete: one central movement, one emotional arc, one disciplined distinction, and one practical landing place.</w:t>
      </w:r>
    </w:p>
    <w:tbl>
      <w:tblPr>
        <w:tblStyle w:val="TableGrid"/>
        <w:tblW w:type="dxa" w:w="9360"/>
        <w:jc w:val="center"/>
        <w:tblLayout w:type="fixed"/>
        <w:tblLook w:firstColumn="1" w:firstRow="1" w:lastColumn="0" w:lastRow="0" w:noHBand="0" w:noVBand="1" w:val="04A0"/>
        <w:tblInd w:w="140" w:type="dxa"/>
      </w:tblPr>
      <w:tblGrid>
        <w:gridCol w:w="1700"/>
        <w:gridCol w:w="2600"/>
        <w:gridCol w:w="5060"/>
      </w:tblGrid>
      <w:tr>
        <w:trPr>
          <w:tblHeader w:val="true"/>
        </w:trPr>
        <w:tc>
          <w:tcPr>
            <w:tcW w:type="dxa" w:w="1700"/>
            <w:tcMar>
              <w:top w:w="100" w:type="dxa"/>
              <w:start w:w="140" w:type="dxa"/>
              <w:bottom w:w="100" w:type="dxa"/>
              <w:end w:w="140" w:type="dxa"/>
            </w:tcMar>
            <w:shd w:fill="762631"/>
            <w:vAlign w:val="center"/>
          </w:tcPr>
          <w:p>
            <w:r>
              <w:rPr>
                <w:rFonts w:ascii="Aptos" w:hAnsi="Aptos"/>
                <w:b/>
                <w:i w:val="0"/>
                <w:color w:val="FFFFFF"/>
                <w:sz w:val="18"/>
              </w:rPr>
              <w:t>Time</w:t>
            </w:r>
          </w:p>
        </w:tc>
        <w:tc>
          <w:tcPr>
            <w:tcW w:type="dxa" w:w="2600"/>
            <w:tcMar>
              <w:top w:w="100" w:type="dxa"/>
              <w:start w:w="140" w:type="dxa"/>
              <w:bottom w:w="100" w:type="dxa"/>
              <w:end w:w="140" w:type="dxa"/>
            </w:tcMar>
            <w:shd w:fill="762631"/>
            <w:vAlign w:val="center"/>
          </w:tcPr>
          <w:p>
            <w:r>
              <w:rPr>
                <w:rFonts w:ascii="Aptos" w:hAnsi="Aptos"/>
                <w:b/>
                <w:i w:val="0"/>
                <w:color w:val="FFFFFF"/>
                <w:sz w:val="18"/>
              </w:rPr>
              <w:t>Movement</w:t>
            </w:r>
          </w:p>
        </w:tc>
        <w:tc>
          <w:tcPr>
            <w:tcW w:type="dxa" w:w="5060"/>
            <w:tcMar>
              <w:top w:w="100" w:type="dxa"/>
              <w:start w:w="140" w:type="dxa"/>
              <w:bottom w:w="100" w:type="dxa"/>
              <w:end w:w="140" w:type="dxa"/>
            </w:tcMar>
            <w:shd w:fill="762631"/>
            <w:vAlign w:val="center"/>
          </w:tcPr>
          <w:p>
            <w:r>
              <w:rPr>
                <w:rFonts w:ascii="Aptos" w:hAnsi="Aptos"/>
                <w:b/>
                <w:i w:val="0"/>
                <w:color w:val="FFFFFF"/>
                <w:sz w:val="18"/>
              </w:rPr>
              <w:t>Production requirement</w:t>
            </w:r>
          </w:p>
        </w:tc>
      </w:tr>
      <w:tr>
        <w:tc>
          <w:tcPr>
            <w:tcW w:type="dxa" w:w="1700"/>
            <w:vAlign w:val="center"/>
            <w:tcMar>
              <w:top w:w="100" w:type="dxa"/>
              <w:start w:w="140" w:type="dxa"/>
              <w:bottom w:w="100" w:type="dxa"/>
              <w:end w:w="140" w:type="dxa"/>
            </w:tcMar>
          </w:tcPr>
          <w:p>
            <w:r>
              <w:rPr>
                <w:rFonts w:ascii="Aptos" w:hAnsi="Aptos"/>
                <w:b w:val="0"/>
                <w:i w:val="0"/>
                <w:color w:val="2F292B"/>
                <w:sz w:val="18"/>
              </w:rPr>
              <w:t>0:00–1:30</w:t>
            </w:r>
          </w:p>
        </w:tc>
        <w:tc>
          <w:tcPr>
            <w:tcW w:type="dxa" w:w="2600"/>
            <w:vAlign w:val="center"/>
            <w:tcMar>
              <w:top w:w="100" w:type="dxa"/>
              <w:start w:w="140" w:type="dxa"/>
              <w:bottom w:w="100" w:type="dxa"/>
              <w:end w:w="140" w:type="dxa"/>
            </w:tcMar>
          </w:tcPr>
          <w:p>
            <w:r>
              <w:rPr>
                <w:rFonts w:ascii="Aptos" w:hAnsi="Aptos"/>
                <w:b w:val="0"/>
                <w:i w:val="0"/>
                <w:color w:val="2F292B"/>
                <w:sz w:val="18"/>
              </w:rPr>
              <w:t>Arrival</w:t>
            </w:r>
          </w:p>
        </w:tc>
        <w:tc>
          <w:tcPr>
            <w:tcW w:type="dxa" w:w="5060"/>
            <w:vAlign w:val="center"/>
            <w:tcMar>
              <w:top w:w="100" w:type="dxa"/>
              <w:start w:w="140" w:type="dxa"/>
              <w:bottom w:w="100" w:type="dxa"/>
              <w:end w:w="140" w:type="dxa"/>
            </w:tcMar>
          </w:tcPr>
          <w:p>
            <w:r>
              <w:rPr>
                <w:rFonts w:ascii="Aptos" w:hAnsi="Aptos"/>
                <w:b w:val="0"/>
                <w:i w:val="0"/>
                <w:color w:val="2F292B"/>
                <w:sz w:val="18"/>
              </w:rPr>
              <w:t>Brief music bed if licensed; title; welcome; settle the listener; no crowded introduction</w:t>
            </w:r>
          </w:p>
        </w:tc>
      </w:tr>
      <w:tr>
        <w:tc>
          <w:tcPr>
            <w:tcW w:type="dxa" w:w="1700"/>
            <w:vAlign w:val="center"/>
            <w:tcMar>
              <w:top w:w="100" w:type="dxa"/>
              <w:start w:w="140" w:type="dxa"/>
              <w:bottom w:w="100" w:type="dxa"/>
              <w:end w:w="140" w:type="dxa"/>
            </w:tcMar>
          </w:tcPr>
          <w:p>
            <w:r>
              <w:rPr>
                <w:rFonts w:ascii="Aptos" w:hAnsi="Aptos"/>
                <w:b w:val="0"/>
                <w:i w:val="0"/>
                <w:color w:val="2F292B"/>
                <w:sz w:val="18"/>
              </w:rPr>
              <w:t>1:30–4:00</w:t>
            </w:r>
          </w:p>
        </w:tc>
        <w:tc>
          <w:tcPr>
            <w:tcW w:type="dxa" w:w="2600"/>
            <w:vAlign w:val="center"/>
            <w:tcMar>
              <w:top w:w="100" w:type="dxa"/>
              <w:start w:w="140" w:type="dxa"/>
              <w:bottom w:w="100" w:type="dxa"/>
              <w:end w:w="140" w:type="dxa"/>
            </w:tcMar>
          </w:tcPr>
          <w:p>
            <w:r>
              <w:rPr>
                <w:rFonts w:ascii="Aptos" w:hAnsi="Aptos"/>
                <w:b w:val="0"/>
                <w:i w:val="0"/>
                <w:color w:val="2F292B"/>
                <w:sz w:val="18"/>
              </w:rPr>
              <w:t>Recognition</w:t>
            </w:r>
          </w:p>
        </w:tc>
        <w:tc>
          <w:tcPr>
            <w:tcW w:type="dxa" w:w="5060"/>
            <w:vAlign w:val="center"/>
            <w:tcMar>
              <w:top w:w="100" w:type="dxa"/>
              <w:start w:w="140" w:type="dxa"/>
              <w:bottom w:w="100" w:type="dxa"/>
              <w:end w:w="140" w:type="dxa"/>
            </w:tcMar>
          </w:tcPr>
          <w:p>
            <w:r>
              <w:rPr>
                <w:rFonts w:ascii="Aptos" w:hAnsi="Aptos"/>
                <w:b w:val="0"/>
                <w:i w:val="0"/>
                <w:color w:val="2F292B"/>
                <w:sz w:val="18"/>
              </w:rPr>
              <w:t>Name one lived tension, image, story, or question without overexplaining</w:t>
            </w:r>
          </w:p>
        </w:tc>
      </w:tr>
      <w:tr>
        <w:tc>
          <w:tcPr>
            <w:tcW w:type="dxa" w:w="1700"/>
            <w:vAlign w:val="center"/>
            <w:tcMar>
              <w:top w:w="100" w:type="dxa"/>
              <w:start w:w="140" w:type="dxa"/>
              <w:bottom w:w="100" w:type="dxa"/>
              <w:end w:w="140" w:type="dxa"/>
            </w:tcMar>
          </w:tcPr>
          <w:p>
            <w:r>
              <w:rPr>
                <w:rFonts w:ascii="Aptos" w:hAnsi="Aptos"/>
                <w:b w:val="0"/>
                <w:i w:val="0"/>
                <w:color w:val="2F292B"/>
                <w:sz w:val="18"/>
              </w:rPr>
              <w:t>4:00–9:00</w:t>
            </w:r>
          </w:p>
        </w:tc>
        <w:tc>
          <w:tcPr>
            <w:tcW w:type="dxa" w:w="2600"/>
            <w:vAlign w:val="center"/>
            <w:tcMar>
              <w:top w:w="100" w:type="dxa"/>
              <w:start w:w="140" w:type="dxa"/>
              <w:bottom w:w="100" w:type="dxa"/>
              <w:end w:w="140" w:type="dxa"/>
            </w:tcMar>
          </w:tcPr>
          <w:p>
            <w:r>
              <w:rPr>
                <w:rFonts w:ascii="Aptos" w:hAnsi="Aptos"/>
                <w:b w:val="0"/>
                <w:i w:val="0"/>
                <w:color w:val="2F292B"/>
                <w:sz w:val="18"/>
              </w:rPr>
              <w:t>Development</w:t>
            </w:r>
          </w:p>
        </w:tc>
        <w:tc>
          <w:tcPr>
            <w:tcW w:type="dxa" w:w="5060"/>
            <w:vAlign w:val="center"/>
            <w:tcMar>
              <w:top w:w="100" w:type="dxa"/>
              <w:start w:w="140" w:type="dxa"/>
              <w:bottom w:w="100" w:type="dxa"/>
              <w:end w:w="140" w:type="dxa"/>
            </w:tcMar>
          </w:tcPr>
          <w:p>
            <w:r>
              <w:rPr>
                <w:rFonts w:ascii="Aptos" w:hAnsi="Aptos"/>
                <w:b w:val="0"/>
                <w:i w:val="0"/>
                <w:color w:val="2F292B"/>
                <w:sz w:val="18"/>
              </w:rPr>
              <w:t>Teach one idea; distinguish evidence, testimony, interpretation, and discernment</w:t>
            </w:r>
          </w:p>
        </w:tc>
      </w:tr>
      <w:tr>
        <w:tc>
          <w:tcPr>
            <w:tcW w:type="dxa" w:w="1700"/>
            <w:vAlign w:val="center"/>
            <w:tcMar>
              <w:top w:w="100" w:type="dxa"/>
              <w:start w:w="140" w:type="dxa"/>
              <w:bottom w:w="100" w:type="dxa"/>
              <w:end w:w="140" w:type="dxa"/>
            </w:tcMar>
          </w:tcPr>
          <w:p>
            <w:r>
              <w:rPr>
                <w:rFonts w:ascii="Aptos" w:hAnsi="Aptos"/>
                <w:b w:val="0"/>
                <w:i w:val="0"/>
                <w:color w:val="2F292B"/>
                <w:sz w:val="18"/>
              </w:rPr>
              <w:t>9:00–13:00</w:t>
            </w:r>
          </w:p>
        </w:tc>
        <w:tc>
          <w:tcPr>
            <w:tcW w:type="dxa" w:w="2600"/>
            <w:vAlign w:val="center"/>
            <w:tcMar>
              <w:top w:w="100" w:type="dxa"/>
              <w:start w:w="140" w:type="dxa"/>
              <w:bottom w:w="100" w:type="dxa"/>
              <w:end w:w="140" w:type="dxa"/>
            </w:tcMar>
          </w:tcPr>
          <w:p>
            <w:r>
              <w:rPr>
                <w:rFonts w:ascii="Aptos" w:hAnsi="Aptos"/>
                <w:b w:val="0"/>
                <w:i w:val="0"/>
                <w:color w:val="2F292B"/>
                <w:sz w:val="18"/>
              </w:rPr>
              <w:t>Integration</w:t>
            </w:r>
          </w:p>
        </w:tc>
        <w:tc>
          <w:tcPr>
            <w:tcW w:type="dxa" w:w="5060"/>
            <w:vAlign w:val="center"/>
            <w:tcMar>
              <w:top w:w="100" w:type="dxa"/>
              <w:start w:w="140" w:type="dxa"/>
              <w:bottom w:w="100" w:type="dxa"/>
              <w:end w:w="140" w:type="dxa"/>
            </w:tcMar>
          </w:tcPr>
          <w:p>
            <w:r>
              <w:rPr>
                <w:rFonts w:ascii="Aptos" w:hAnsi="Aptos"/>
                <w:b w:val="0"/>
                <w:i w:val="0"/>
                <w:color w:val="2F292B"/>
                <w:sz w:val="18"/>
              </w:rPr>
              <w:t>Connect Scripture, context, responsibility, emotion, and lived practice</w:t>
            </w:r>
          </w:p>
        </w:tc>
      </w:tr>
      <w:tr>
        <w:tc>
          <w:tcPr>
            <w:tcW w:type="dxa" w:w="1700"/>
            <w:vAlign w:val="center"/>
            <w:tcMar>
              <w:top w:w="100" w:type="dxa"/>
              <w:start w:w="140" w:type="dxa"/>
              <w:bottom w:w="100" w:type="dxa"/>
              <w:end w:w="140" w:type="dxa"/>
            </w:tcMar>
          </w:tcPr>
          <w:p>
            <w:r>
              <w:rPr>
                <w:rFonts w:ascii="Aptos" w:hAnsi="Aptos"/>
                <w:b w:val="0"/>
                <w:i w:val="0"/>
                <w:color w:val="2F292B"/>
                <w:sz w:val="18"/>
              </w:rPr>
              <w:t>13:00–16:00</w:t>
            </w:r>
          </w:p>
        </w:tc>
        <w:tc>
          <w:tcPr>
            <w:tcW w:type="dxa" w:w="2600"/>
            <w:vAlign w:val="center"/>
            <w:tcMar>
              <w:top w:w="100" w:type="dxa"/>
              <w:start w:w="140" w:type="dxa"/>
              <w:bottom w:w="100" w:type="dxa"/>
              <w:end w:w="140" w:type="dxa"/>
            </w:tcMar>
          </w:tcPr>
          <w:p>
            <w:r>
              <w:rPr>
                <w:rFonts w:ascii="Aptos" w:hAnsi="Aptos"/>
                <w:b w:val="0"/>
                <w:i w:val="0"/>
                <w:color w:val="2F292B"/>
                <w:sz w:val="18"/>
              </w:rPr>
              <w:t>Guided reflection</w:t>
            </w:r>
          </w:p>
        </w:tc>
        <w:tc>
          <w:tcPr>
            <w:tcW w:type="dxa" w:w="5060"/>
            <w:vAlign w:val="center"/>
            <w:tcMar>
              <w:top w:w="100" w:type="dxa"/>
              <w:start w:w="140" w:type="dxa"/>
              <w:bottom w:w="100" w:type="dxa"/>
              <w:end w:w="140" w:type="dxa"/>
            </w:tcMar>
          </w:tcPr>
          <w:p>
            <w:r>
              <w:rPr>
                <w:rFonts w:ascii="Aptos" w:hAnsi="Aptos"/>
                <w:b w:val="0"/>
                <w:i w:val="0"/>
                <w:color w:val="2F292B"/>
                <w:sz w:val="18"/>
              </w:rPr>
              <w:t>Two or three prompts with real silence; invite writing only when safe</w:t>
            </w:r>
          </w:p>
        </w:tc>
      </w:tr>
      <w:tr>
        <w:tc>
          <w:tcPr>
            <w:tcW w:type="dxa" w:w="1700"/>
            <w:vAlign w:val="center"/>
            <w:tcMar>
              <w:top w:w="100" w:type="dxa"/>
              <w:start w:w="140" w:type="dxa"/>
              <w:bottom w:w="100" w:type="dxa"/>
              <w:end w:w="140" w:type="dxa"/>
            </w:tcMar>
          </w:tcPr>
          <w:p>
            <w:r>
              <w:rPr>
                <w:rFonts w:ascii="Aptos" w:hAnsi="Aptos"/>
                <w:b w:val="0"/>
                <w:i w:val="0"/>
                <w:color w:val="2F292B"/>
                <w:sz w:val="18"/>
              </w:rPr>
              <w:t>16:00–18:00</w:t>
            </w:r>
          </w:p>
        </w:tc>
        <w:tc>
          <w:tcPr>
            <w:tcW w:type="dxa" w:w="2600"/>
            <w:vAlign w:val="center"/>
            <w:tcMar>
              <w:top w:w="100" w:type="dxa"/>
              <w:start w:w="140" w:type="dxa"/>
              <w:bottom w:w="100" w:type="dxa"/>
              <w:end w:w="140" w:type="dxa"/>
            </w:tcMar>
          </w:tcPr>
          <w:p>
            <w:r>
              <w:rPr>
                <w:rFonts w:ascii="Aptos" w:hAnsi="Aptos"/>
                <w:b w:val="0"/>
                <w:i w:val="0"/>
                <w:color w:val="2F292B"/>
                <w:sz w:val="18"/>
              </w:rPr>
              <w:t>Prayer and response</w:t>
            </w:r>
          </w:p>
        </w:tc>
        <w:tc>
          <w:tcPr>
            <w:tcW w:type="dxa" w:w="5060"/>
            <w:vAlign w:val="center"/>
            <w:tcMar>
              <w:top w:w="100" w:type="dxa"/>
              <w:start w:w="140" w:type="dxa"/>
              <w:bottom w:w="100" w:type="dxa"/>
              <w:end w:w="140" w:type="dxa"/>
            </w:tcMar>
          </w:tcPr>
          <w:p>
            <w:r>
              <w:rPr>
                <w:rFonts w:ascii="Aptos" w:hAnsi="Aptos"/>
                <w:b w:val="0"/>
                <w:i w:val="0"/>
                <w:color w:val="2F292B"/>
                <w:sz w:val="18"/>
              </w:rPr>
              <w:t>Non-coercive prayer; one proportionate next action; closing orientation</w:t>
            </w:r>
          </w:p>
        </w:tc>
      </w:tr>
      <w:tr>
        <w:tc>
          <w:tcPr>
            <w:tcW w:type="dxa" w:w="1700"/>
            <w:vAlign w:val="center"/>
            <w:tcMar>
              <w:top w:w="100" w:type="dxa"/>
              <w:start w:w="140" w:type="dxa"/>
              <w:bottom w:w="100" w:type="dxa"/>
              <w:end w:w="140" w:type="dxa"/>
            </w:tcMar>
          </w:tcPr>
          <w:p>
            <w:r>
              <w:rPr>
                <w:rFonts w:ascii="Aptos" w:hAnsi="Aptos"/>
                <w:b w:val="0"/>
                <w:i w:val="0"/>
                <w:color w:val="2F292B"/>
                <w:sz w:val="18"/>
              </w:rPr>
              <w:t>18:00–20:00</w:t>
            </w:r>
          </w:p>
        </w:tc>
        <w:tc>
          <w:tcPr>
            <w:tcW w:type="dxa" w:w="2600"/>
            <w:vAlign w:val="center"/>
            <w:tcMar>
              <w:top w:w="100" w:type="dxa"/>
              <w:start w:w="140" w:type="dxa"/>
              <w:bottom w:w="100" w:type="dxa"/>
              <w:end w:w="140" w:type="dxa"/>
            </w:tcMar>
          </w:tcPr>
          <w:p>
            <w:r>
              <w:rPr>
                <w:rFonts w:ascii="Aptos" w:hAnsi="Aptos"/>
                <w:b w:val="0"/>
                <w:i w:val="0"/>
                <w:color w:val="2F292B"/>
                <w:sz w:val="18"/>
              </w:rPr>
              <w:t>Optional extension</w:t>
            </w:r>
          </w:p>
        </w:tc>
        <w:tc>
          <w:tcPr>
            <w:tcW w:type="dxa" w:w="5060"/>
            <w:vAlign w:val="center"/>
            <w:tcMar>
              <w:top w:w="100" w:type="dxa"/>
              <w:start w:w="140" w:type="dxa"/>
              <w:bottom w:w="100" w:type="dxa"/>
              <w:end w:w="140" w:type="dxa"/>
            </w:tcMar>
          </w:tcPr>
          <w:p>
            <w:r>
              <w:rPr>
                <w:rFonts w:ascii="Aptos" w:hAnsi="Aptos"/>
                <w:b w:val="0"/>
                <w:i w:val="0"/>
                <w:color w:val="2F292B"/>
                <w:sz w:val="18"/>
              </w:rPr>
              <w:t>Longer silence, testimony, source note, or transition to companion</w:t>
            </w:r>
          </w:p>
        </w:tc>
      </w:tr>
    </w:tbl>
    <w:p/>
    <w:p>
      <w:pPr>
        <w:pStyle w:val="Heading2"/>
      </w:pPr>
      <w:r>
        <w:t>Writing and vocal direction</w:t>
      </w:r>
    </w:p>
    <w:p>
      <w:pPr>
        <w:pStyle w:val="ListBullet"/>
      </w:pPr>
      <w:r>
        <w:rPr>
          <w:rFonts w:ascii="Aptos" w:hAnsi="Aptos"/>
          <w:b w:val="0"/>
          <w:i w:val="0"/>
          <w:color w:val="2F292B"/>
          <w:sz w:val="21"/>
        </w:rPr>
        <w:t>Write for the ear: one principal idea per sentence, concrete nouns, measured repetition, and audible transitions.</w:t>
      </w:r>
    </w:p>
    <w:p>
      <w:pPr>
        <w:pStyle w:val="ListBullet"/>
      </w:pPr>
      <w:r>
        <w:rPr>
          <w:rFonts w:ascii="Aptos" w:hAnsi="Aptos"/>
          <w:b w:val="0"/>
          <w:i w:val="0"/>
          <w:color w:val="2F292B"/>
          <w:sz w:val="21"/>
        </w:rPr>
        <w:t>Use a calm, warm, intelligent, unhurried delivery. Allow prophetic warmth without manufactured intensity.</w:t>
      </w:r>
    </w:p>
    <w:p>
      <w:pPr>
        <w:pStyle w:val="ListBullet"/>
      </w:pPr>
      <w:r>
        <w:rPr>
          <w:rFonts w:ascii="Aptos" w:hAnsi="Aptos"/>
          <w:b w:val="0"/>
          <w:i w:val="0"/>
          <w:color w:val="2F292B"/>
          <w:sz w:val="21"/>
        </w:rPr>
        <w:t>Do not use background music beneath dense teaching, Scripture citation, safety language, or emotionally weighty testimony.</w:t>
      </w:r>
    </w:p>
    <w:p>
      <w:pPr>
        <w:pStyle w:val="ListBullet"/>
      </w:pPr>
      <w:r>
        <w:rPr>
          <w:rFonts w:ascii="Aptos" w:hAnsi="Aptos"/>
          <w:b w:val="0"/>
          <w:i w:val="0"/>
          <w:color w:val="2F292B"/>
          <w:sz w:val="21"/>
        </w:rPr>
        <w:t>Mark silence precisely. A five-second pause is different from a thirty-second reflection window.</w:t>
      </w:r>
    </w:p>
    <w:p>
      <w:pPr>
        <w:pStyle w:val="ListBullet"/>
      </w:pPr>
      <w:r>
        <w:rPr>
          <w:rFonts w:ascii="Aptos" w:hAnsi="Aptos"/>
          <w:b w:val="0"/>
          <w:i w:val="0"/>
          <w:color w:val="2F292B"/>
          <w:sz w:val="21"/>
        </w:rPr>
        <w:t>End every chapter with one faithful, proportionate, possible response rather than a demand for instant certainty.</w:t>
      </w:r>
    </w:p>
    <w:p>
      <w:pPr>
        <w:pStyle w:val="Heading1"/>
      </w:pPr>
      <w:r>
        <w:t>3. The digital reflection companion standard</w:t>
      </w:r>
    </w:p>
    <w:tbl>
      <w:tblPr>
        <w:tblStyle w:val="TableGrid"/>
        <w:tblW w:type="dxa" w:w="9360"/>
        <w:jc w:val="center"/>
        <w:tblLayout w:type="fixed"/>
        <w:tblLook w:firstColumn="1" w:firstRow="1" w:lastColumn="0" w:lastRow="0" w:noHBand="0" w:noVBand="1" w:val="04A0"/>
        <w:tblInd w:w="140" w:type="dxa"/>
      </w:tblPr>
      <w:tblGrid>
        <w:gridCol w:w="1800"/>
        <w:gridCol w:w="4180"/>
        <w:gridCol w:w="3380"/>
      </w:tblGrid>
      <w:tr>
        <w:trPr>
          <w:tblHeader w:val="true"/>
        </w:trPr>
        <w:tc>
          <w:tcPr>
            <w:tcW w:type="dxa" w:w="1800"/>
            <w:tcMar>
              <w:top w:w="100" w:type="dxa"/>
              <w:start w:w="140" w:type="dxa"/>
              <w:bottom w:w="100" w:type="dxa"/>
              <w:end w:w="140" w:type="dxa"/>
            </w:tcMar>
            <w:shd w:fill="762631"/>
            <w:vAlign w:val="center"/>
          </w:tcPr>
          <w:p>
            <w:r>
              <w:rPr>
                <w:rFonts w:ascii="Aptos" w:hAnsi="Aptos"/>
                <w:b/>
                <w:i w:val="0"/>
                <w:color w:val="FFFFFF"/>
                <w:sz w:val="18"/>
              </w:rPr>
              <w:t>Required element</w:t>
            </w:r>
          </w:p>
        </w:tc>
        <w:tc>
          <w:tcPr>
            <w:tcW w:type="dxa" w:w="4180"/>
            <w:tcMar>
              <w:top w:w="100" w:type="dxa"/>
              <w:start w:w="140" w:type="dxa"/>
              <w:bottom w:w="100" w:type="dxa"/>
              <w:end w:w="140" w:type="dxa"/>
            </w:tcMar>
            <w:shd w:fill="762631"/>
            <w:vAlign w:val="center"/>
          </w:tcPr>
          <w:p>
            <w:r>
              <w:rPr>
                <w:rFonts w:ascii="Aptos" w:hAnsi="Aptos"/>
                <w:b/>
                <w:i w:val="0"/>
                <w:color w:val="FFFFFF"/>
                <w:sz w:val="18"/>
              </w:rPr>
              <w:t>Minimum standard</w:t>
            </w:r>
          </w:p>
        </w:tc>
        <w:tc>
          <w:tcPr>
            <w:tcW w:type="dxa" w:w="3380"/>
            <w:tcMar>
              <w:top w:w="100" w:type="dxa"/>
              <w:start w:w="140" w:type="dxa"/>
              <w:bottom w:w="100" w:type="dxa"/>
              <w:end w:w="140" w:type="dxa"/>
            </w:tcMar>
            <w:shd w:fill="762631"/>
            <w:vAlign w:val="center"/>
          </w:tcPr>
          <w:p>
            <w:r>
              <w:rPr>
                <w:rFonts w:ascii="Aptos" w:hAnsi="Aptos"/>
                <w:b/>
                <w:i w:val="0"/>
                <w:color w:val="FFFFFF"/>
                <w:sz w:val="18"/>
              </w:rPr>
              <w:t>Quality test</w:t>
            </w:r>
          </w:p>
        </w:tc>
      </w:tr>
      <w:tr>
        <w:tc>
          <w:tcPr>
            <w:tcW w:type="dxa" w:w="1800"/>
            <w:vAlign w:val="center"/>
            <w:tcMar>
              <w:top w:w="100" w:type="dxa"/>
              <w:start w:w="140" w:type="dxa"/>
              <w:bottom w:w="100" w:type="dxa"/>
              <w:end w:w="140" w:type="dxa"/>
            </w:tcMar>
          </w:tcPr>
          <w:p>
            <w:r>
              <w:rPr>
                <w:rFonts w:ascii="Aptos" w:hAnsi="Aptos"/>
                <w:b w:val="0"/>
                <w:i w:val="0"/>
                <w:color w:val="2F292B"/>
                <w:sz w:val="18"/>
              </w:rPr>
              <w:t>Scripture</w:t>
            </w:r>
          </w:p>
        </w:tc>
        <w:tc>
          <w:tcPr>
            <w:tcW w:type="dxa" w:w="4180"/>
            <w:vAlign w:val="center"/>
            <w:tcMar>
              <w:top w:w="100" w:type="dxa"/>
              <w:start w:w="140" w:type="dxa"/>
              <w:bottom w:w="100" w:type="dxa"/>
              <w:end w:w="140" w:type="dxa"/>
            </w:tcMar>
          </w:tcPr>
          <w:p>
            <w:r>
              <w:rPr>
                <w:rFonts w:ascii="Aptos" w:hAnsi="Aptos"/>
                <w:b w:val="0"/>
                <w:i w:val="0"/>
                <w:color w:val="2F292B"/>
                <w:sz w:val="18"/>
              </w:rPr>
              <w:t>Two to four references, context note, translation named when quoted</w:t>
            </w:r>
          </w:p>
        </w:tc>
        <w:tc>
          <w:tcPr>
            <w:tcW w:type="dxa" w:w="3380"/>
            <w:vAlign w:val="center"/>
            <w:tcMar>
              <w:top w:w="100" w:type="dxa"/>
              <w:start w:w="140" w:type="dxa"/>
              <w:bottom w:w="100" w:type="dxa"/>
              <w:end w:w="140" w:type="dxa"/>
            </w:tcMar>
          </w:tcPr>
          <w:p>
            <w:r>
              <w:rPr>
                <w:rFonts w:ascii="Aptos" w:hAnsi="Aptos"/>
                <w:b w:val="0"/>
                <w:i w:val="0"/>
                <w:color w:val="2F292B"/>
                <w:sz w:val="18"/>
              </w:rPr>
              <w:t>Reference verified; application does not exceed context</w:t>
            </w:r>
          </w:p>
        </w:tc>
      </w:tr>
      <w:tr>
        <w:tc>
          <w:tcPr>
            <w:tcW w:type="dxa" w:w="1800"/>
            <w:vAlign w:val="center"/>
            <w:tcMar>
              <w:top w:w="100" w:type="dxa"/>
              <w:start w:w="140" w:type="dxa"/>
              <w:bottom w:w="100" w:type="dxa"/>
              <w:end w:w="140" w:type="dxa"/>
            </w:tcMar>
          </w:tcPr>
          <w:p>
            <w:r>
              <w:rPr>
                <w:rFonts w:ascii="Aptos" w:hAnsi="Aptos"/>
                <w:b w:val="0"/>
                <w:i w:val="0"/>
                <w:color w:val="2F292B"/>
                <w:sz w:val="18"/>
              </w:rPr>
              <w:t>Questions</w:t>
            </w:r>
          </w:p>
        </w:tc>
        <w:tc>
          <w:tcPr>
            <w:tcW w:type="dxa" w:w="4180"/>
            <w:vAlign w:val="center"/>
            <w:tcMar>
              <w:top w:w="100" w:type="dxa"/>
              <w:start w:w="140" w:type="dxa"/>
              <w:bottom w:w="100" w:type="dxa"/>
              <w:end w:w="140" w:type="dxa"/>
            </w:tcMar>
          </w:tcPr>
          <w:p>
            <w:r>
              <w:rPr>
                <w:rFonts w:ascii="Aptos" w:hAnsi="Aptos"/>
                <w:b w:val="0"/>
                <w:i w:val="0"/>
                <w:color w:val="2F292B"/>
                <w:sz w:val="18"/>
              </w:rPr>
              <w:t>Recognition, reflection, discernment, and response prompts</w:t>
            </w:r>
          </w:p>
        </w:tc>
        <w:tc>
          <w:tcPr>
            <w:tcW w:type="dxa" w:w="3380"/>
            <w:vAlign w:val="center"/>
            <w:tcMar>
              <w:top w:w="100" w:type="dxa"/>
              <w:start w:w="140" w:type="dxa"/>
              <w:bottom w:w="100" w:type="dxa"/>
              <w:end w:w="140" w:type="dxa"/>
            </w:tcMar>
          </w:tcPr>
          <w:p>
            <w:r>
              <w:rPr>
                <w:rFonts w:ascii="Aptos" w:hAnsi="Aptos"/>
                <w:b w:val="0"/>
                <w:i w:val="0"/>
                <w:color w:val="2F292B"/>
                <w:sz w:val="18"/>
              </w:rPr>
              <w:t>Open, specific, non-leading, and usable privately</w:t>
            </w:r>
          </w:p>
        </w:tc>
      </w:tr>
      <w:tr>
        <w:tc>
          <w:tcPr>
            <w:tcW w:type="dxa" w:w="1800"/>
            <w:vAlign w:val="center"/>
            <w:tcMar>
              <w:top w:w="100" w:type="dxa"/>
              <w:start w:w="140" w:type="dxa"/>
              <w:bottom w:w="100" w:type="dxa"/>
              <w:end w:w="140" w:type="dxa"/>
            </w:tcMar>
          </w:tcPr>
          <w:p>
            <w:r>
              <w:rPr>
                <w:rFonts w:ascii="Aptos" w:hAnsi="Aptos"/>
                <w:b w:val="0"/>
                <w:i w:val="0"/>
                <w:color w:val="2F292B"/>
                <w:sz w:val="18"/>
              </w:rPr>
              <w:t>Exercise</w:t>
            </w:r>
          </w:p>
        </w:tc>
        <w:tc>
          <w:tcPr>
            <w:tcW w:type="dxa" w:w="4180"/>
            <w:vAlign w:val="center"/>
            <w:tcMar>
              <w:top w:w="100" w:type="dxa"/>
              <w:start w:w="140" w:type="dxa"/>
              <w:bottom w:w="100" w:type="dxa"/>
              <w:end w:w="140" w:type="dxa"/>
            </w:tcMar>
          </w:tcPr>
          <w:p>
            <w:r>
              <w:rPr>
                <w:rFonts w:ascii="Aptos" w:hAnsi="Aptos"/>
                <w:b w:val="0"/>
                <w:i w:val="0"/>
                <w:color w:val="2F292B"/>
                <w:sz w:val="18"/>
              </w:rPr>
              <w:t>One concrete mapping, sorting, timeline, inventory, or decision practice</w:t>
            </w:r>
          </w:p>
        </w:tc>
        <w:tc>
          <w:tcPr>
            <w:tcW w:type="dxa" w:w="3380"/>
            <w:vAlign w:val="center"/>
            <w:tcMar>
              <w:top w:w="100" w:type="dxa"/>
              <w:start w:w="140" w:type="dxa"/>
              <w:bottom w:w="100" w:type="dxa"/>
              <w:end w:w="140" w:type="dxa"/>
            </w:tcMar>
          </w:tcPr>
          <w:p>
            <w:r>
              <w:rPr>
                <w:rFonts w:ascii="Aptos" w:hAnsi="Aptos"/>
                <w:b w:val="0"/>
                <w:i w:val="0"/>
                <w:color w:val="2F292B"/>
                <w:sz w:val="18"/>
              </w:rPr>
              <w:t>Can be completed in 10–20 minutes without special materials</w:t>
            </w:r>
          </w:p>
        </w:tc>
      </w:tr>
      <w:tr>
        <w:tc>
          <w:tcPr>
            <w:tcW w:type="dxa" w:w="1800"/>
            <w:vAlign w:val="center"/>
            <w:tcMar>
              <w:top w:w="100" w:type="dxa"/>
              <w:start w:w="140" w:type="dxa"/>
              <w:bottom w:w="100" w:type="dxa"/>
              <w:end w:w="140" w:type="dxa"/>
            </w:tcMar>
          </w:tcPr>
          <w:p>
            <w:r>
              <w:rPr>
                <w:rFonts w:ascii="Aptos" w:hAnsi="Aptos"/>
                <w:b w:val="0"/>
                <w:i w:val="0"/>
                <w:color w:val="2F292B"/>
                <w:sz w:val="18"/>
              </w:rPr>
              <w:t>Prayer</w:t>
            </w:r>
          </w:p>
        </w:tc>
        <w:tc>
          <w:tcPr>
            <w:tcW w:type="dxa" w:w="4180"/>
            <w:vAlign w:val="center"/>
            <w:tcMar>
              <w:top w:w="100" w:type="dxa"/>
              <w:start w:w="140" w:type="dxa"/>
              <w:bottom w:w="100" w:type="dxa"/>
              <w:end w:w="140" w:type="dxa"/>
            </w:tcMar>
          </w:tcPr>
          <w:p>
            <w:r>
              <w:rPr>
                <w:rFonts w:ascii="Aptos" w:hAnsi="Aptos"/>
                <w:b w:val="0"/>
                <w:i w:val="0"/>
                <w:color w:val="2F292B"/>
                <w:sz w:val="18"/>
              </w:rPr>
              <w:t>Brief, non-coercive, faithful to the chapter, with room for silence</w:t>
            </w:r>
          </w:p>
        </w:tc>
        <w:tc>
          <w:tcPr>
            <w:tcW w:type="dxa" w:w="3380"/>
            <w:vAlign w:val="center"/>
            <w:tcMar>
              <w:top w:w="100" w:type="dxa"/>
              <w:start w:w="140" w:type="dxa"/>
              <w:bottom w:w="100" w:type="dxa"/>
              <w:end w:w="140" w:type="dxa"/>
            </w:tcMar>
          </w:tcPr>
          <w:p>
            <w:r>
              <w:rPr>
                <w:rFonts w:ascii="Aptos" w:hAnsi="Aptos"/>
                <w:b w:val="0"/>
                <w:i w:val="0"/>
                <w:color w:val="2F292B"/>
                <w:sz w:val="18"/>
              </w:rPr>
              <w:t>Invites rather than presumes God’s specific instruction</w:t>
            </w:r>
          </w:p>
        </w:tc>
      </w:tr>
      <w:tr>
        <w:tc>
          <w:tcPr>
            <w:tcW w:type="dxa" w:w="1800"/>
            <w:vAlign w:val="center"/>
            <w:tcMar>
              <w:top w:w="100" w:type="dxa"/>
              <w:start w:w="140" w:type="dxa"/>
              <w:bottom w:w="100" w:type="dxa"/>
              <w:end w:w="140" w:type="dxa"/>
            </w:tcMar>
          </w:tcPr>
          <w:p>
            <w:r>
              <w:rPr>
                <w:rFonts w:ascii="Aptos" w:hAnsi="Aptos"/>
                <w:b w:val="0"/>
                <w:i w:val="0"/>
                <w:color w:val="2F292B"/>
                <w:sz w:val="18"/>
              </w:rPr>
              <w:t>Journaling space</w:t>
            </w:r>
          </w:p>
        </w:tc>
        <w:tc>
          <w:tcPr>
            <w:tcW w:type="dxa" w:w="4180"/>
            <w:vAlign w:val="center"/>
            <w:tcMar>
              <w:top w:w="100" w:type="dxa"/>
              <w:start w:w="140" w:type="dxa"/>
              <w:bottom w:w="100" w:type="dxa"/>
              <w:end w:w="140" w:type="dxa"/>
            </w:tcMar>
          </w:tcPr>
          <w:p>
            <w:r>
              <w:rPr>
                <w:rFonts w:ascii="Aptos" w:hAnsi="Aptos"/>
                <w:b w:val="0"/>
                <w:i w:val="0"/>
                <w:color w:val="2F292B"/>
                <w:sz w:val="18"/>
              </w:rPr>
              <w:t>At least one full writable page per chapter in print/PDF</w:t>
            </w:r>
          </w:p>
        </w:tc>
        <w:tc>
          <w:tcPr>
            <w:tcW w:type="dxa" w:w="3380"/>
            <w:vAlign w:val="center"/>
            <w:tcMar>
              <w:top w:w="100" w:type="dxa"/>
              <w:start w:w="140" w:type="dxa"/>
              <w:bottom w:w="100" w:type="dxa"/>
              <w:end w:w="140" w:type="dxa"/>
            </w:tcMar>
          </w:tcPr>
          <w:p>
            <w:r>
              <w:rPr>
                <w:rFonts w:ascii="Aptos" w:hAnsi="Aptos"/>
                <w:b w:val="0"/>
                <w:i w:val="0"/>
                <w:color w:val="2F292B"/>
                <w:sz w:val="18"/>
              </w:rPr>
              <w:t>Readable, uncluttered, and sufficient for actual use</w:t>
            </w:r>
          </w:p>
        </w:tc>
      </w:tr>
      <w:tr>
        <w:tc>
          <w:tcPr>
            <w:tcW w:type="dxa" w:w="1800"/>
            <w:vAlign w:val="center"/>
            <w:tcMar>
              <w:top w:w="100" w:type="dxa"/>
              <w:start w:w="140" w:type="dxa"/>
              <w:bottom w:w="100" w:type="dxa"/>
              <w:end w:w="140" w:type="dxa"/>
            </w:tcMar>
          </w:tcPr>
          <w:p>
            <w:r>
              <w:rPr>
                <w:rFonts w:ascii="Aptos" w:hAnsi="Aptos"/>
                <w:b w:val="0"/>
                <w:i w:val="0"/>
                <w:color w:val="2F292B"/>
                <w:sz w:val="18"/>
              </w:rPr>
              <w:t>Next action</w:t>
            </w:r>
          </w:p>
        </w:tc>
        <w:tc>
          <w:tcPr>
            <w:tcW w:type="dxa" w:w="4180"/>
            <w:vAlign w:val="center"/>
            <w:tcMar>
              <w:top w:w="100" w:type="dxa"/>
              <w:start w:w="140" w:type="dxa"/>
              <w:bottom w:w="100" w:type="dxa"/>
              <w:end w:w="140" w:type="dxa"/>
            </w:tcMar>
          </w:tcPr>
          <w:p>
            <w:r>
              <w:rPr>
                <w:rFonts w:ascii="Aptos" w:hAnsi="Aptos"/>
                <w:b w:val="0"/>
                <w:i w:val="0"/>
                <w:color w:val="2F292B"/>
                <w:sz w:val="18"/>
              </w:rPr>
              <w:t>One action, conversation, boundary, experiment, counsel request, or service step</w:t>
            </w:r>
          </w:p>
        </w:tc>
        <w:tc>
          <w:tcPr>
            <w:tcW w:type="dxa" w:w="3380"/>
            <w:vAlign w:val="center"/>
            <w:tcMar>
              <w:top w:w="100" w:type="dxa"/>
              <w:start w:w="140" w:type="dxa"/>
              <w:bottom w:w="100" w:type="dxa"/>
              <w:end w:w="140" w:type="dxa"/>
            </w:tcMar>
          </w:tcPr>
          <w:p>
            <w:r>
              <w:rPr>
                <w:rFonts w:ascii="Aptos" w:hAnsi="Aptos"/>
                <w:b w:val="0"/>
                <w:i w:val="0"/>
                <w:color w:val="2F292B"/>
                <w:sz w:val="18"/>
              </w:rPr>
              <w:t>Proportionate, ethical, time-bound, and reviewable</w:t>
            </w:r>
          </w:p>
        </w:tc>
      </w:tr>
      <w:tr>
        <w:tc>
          <w:tcPr>
            <w:tcW w:type="dxa" w:w="1800"/>
            <w:vAlign w:val="center"/>
            <w:tcMar>
              <w:top w:w="100" w:type="dxa"/>
              <w:start w:w="140" w:type="dxa"/>
              <w:bottom w:w="100" w:type="dxa"/>
              <w:end w:w="140" w:type="dxa"/>
            </w:tcMar>
          </w:tcPr>
          <w:p>
            <w:r>
              <w:rPr>
                <w:rFonts w:ascii="Aptos" w:hAnsi="Aptos"/>
                <w:b w:val="0"/>
                <w:i w:val="0"/>
                <w:color w:val="2F292B"/>
                <w:sz w:val="18"/>
              </w:rPr>
              <w:t>Safety note</w:t>
            </w:r>
          </w:p>
        </w:tc>
        <w:tc>
          <w:tcPr>
            <w:tcW w:type="dxa" w:w="4180"/>
            <w:vAlign w:val="center"/>
            <w:tcMar>
              <w:top w:w="100" w:type="dxa"/>
              <w:start w:w="140" w:type="dxa"/>
              <w:bottom w:w="100" w:type="dxa"/>
              <w:end w:w="140" w:type="dxa"/>
            </w:tcMar>
          </w:tcPr>
          <w:p>
            <w:r>
              <w:rPr>
                <w:rFonts w:ascii="Aptos" w:hAnsi="Aptos"/>
                <w:b w:val="0"/>
                <w:i w:val="0"/>
                <w:color w:val="2F292B"/>
                <w:sz w:val="18"/>
              </w:rPr>
              <w:t>Confidentiality, medical/mental-health, spiritual-care, and urgent-support boundary where relevant</w:t>
            </w:r>
          </w:p>
        </w:tc>
        <w:tc>
          <w:tcPr>
            <w:tcW w:type="dxa" w:w="3380"/>
            <w:vAlign w:val="center"/>
            <w:tcMar>
              <w:top w:w="100" w:type="dxa"/>
              <w:start w:w="140" w:type="dxa"/>
              <w:bottom w:w="100" w:type="dxa"/>
              <w:end w:w="140" w:type="dxa"/>
            </w:tcMar>
          </w:tcPr>
          <w:p>
            <w:r>
              <w:rPr>
                <w:rFonts w:ascii="Aptos" w:hAnsi="Aptos"/>
                <w:b w:val="0"/>
                <w:i w:val="0"/>
                <w:color w:val="2F292B"/>
                <w:sz w:val="18"/>
              </w:rPr>
              <w:t>Placed where needed, not hidden only in legal text</w:t>
            </w:r>
          </w:p>
        </w:tc>
      </w:tr>
    </w:tbl>
    <w:p/>
    <w:p>
      <w:r>
        <w:br w:type="page"/>
      </w:r>
    </w:p>
    <w:p>
      <w:pPr>
        <w:pStyle w:val="Heading1"/>
      </w:pPr>
      <w:r>
        <w:t>4. Premium print as an experience</w:t>
      </w:r>
    </w:p>
    <w:p>
      <w:r>
        <w:rPr>
          <w:rFonts w:ascii="Aptos" w:hAnsi="Aptos"/>
          <w:b w:val="0"/>
          <w:i w:val="0"/>
          <w:color w:val="2F292B"/>
          <w:sz w:val="21"/>
        </w:rPr>
        <w:t>Print is not a residual format. It is the tactile, ceremonial, archival, and communal expression of the work. Premium print should feel worth keeping, giving, displaying, annotating, and placing at the center of a gathering.</w:t>
      </w:r>
    </w:p>
    <w:tbl>
      <w:tblPr>
        <w:tblStyle w:val="TableGrid"/>
        <w:tblW w:type="dxa" w:w="9360"/>
        <w:jc w:val="center"/>
        <w:tblLayout w:type="fixed"/>
        <w:tblLook w:firstColumn="1" w:firstRow="1" w:lastColumn="0" w:lastRow="0" w:noHBand="0" w:noVBand="1" w:val="04A0"/>
        <w:tblInd w:w="140" w:type="dxa"/>
      </w:tblPr>
      <w:tblGrid>
        <w:gridCol w:w="1800"/>
        <w:gridCol w:w="4550"/>
        <w:gridCol w:w="3010"/>
      </w:tblGrid>
      <w:tr>
        <w:trPr>
          <w:tblHeader w:val="true"/>
        </w:trPr>
        <w:tc>
          <w:tcPr>
            <w:tcW w:type="dxa" w:w="1800"/>
            <w:tcMar>
              <w:top w:w="100" w:type="dxa"/>
              <w:start w:w="140" w:type="dxa"/>
              <w:bottom w:w="100" w:type="dxa"/>
              <w:end w:w="140" w:type="dxa"/>
            </w:tcMar>
            <w:shd w:fill="762631"/>
            <w:vAlign w:val="center"/>
          </w:tcPr>
          <w:p>
            <w:r>
              <w:rPr>
                <w:rFonts w:ascii="Aptos" w:hAnsi="Aptos"/>
                <w:b/>
                <w:i w:val="0"/>
                <w:color w:val="FFFFFF"/>
                <w:sz w:val="18"/>
              </w:rPr>
              <w:t>Use</w:t>
            </w:r>
          </w:p>
        </w:tc>
        <w:tc>
          <w:tcPr>
            <w:tcW w:type="dxa" w:w="4550"/>
            <w:tcMar>
              <w:top w:w="100" w:type="dxa"/>
              <w:start w:w="140" w:type="dxa"/>
              <w:bottom w:w="100" w:type="dxa"/>
              <w:end w:w="140" w:type="dxa"/>
            </w:tcMar>
            <w:shd w:fill="762631"/>
            <w:vAlign w:val="center"/>
          </w:tcPr>
          <w:p>
            <w:r>
              <w:rPr>
                <w:rFonts w:ascii="Aptos" w:hAnsi="Aptos"/>
                <w:b/>
                <w:i w:val="0"/>
                <w:color w:val="FFFFFF"/>
                <w:sz w:val="18"/>
              </w:rPr>
              <w:t>Recommended expression</w:t>
            </w:r>
          </w:p>
        </w:tc>
        <w:tc>
          <w:tcPr>
            <w:tcW w:type="dxa" w:w="3010"/>
            <w:tcMar>
              <w:top w:w="100" w:type="dxa"/>
              <w:start w:w="140" w:type="dxa"/>
              <w:bottom w:w="100" w:type="dxa"/>
              <w:end w:w="140" w:type="dxa"/>
            </w:tcMar>
            <w:shd w:fill="762631"/>
            <w:vAlign w:val="center"/>
          </w:tcPr>
          <w:p>
            <w:r>
              <w:rPr>
                <w:rFonts w:ascii="Aptos" w:hAnsi="Aptos"/>
                <w:b/>
                <w:i w:val="0"/>
                <w:color w:val="FFFFFF"/>
                <w:sz w:val="18"/>
              </w:rPr>
              <w:t>Supporting asset</w:t>
            </w:r>
          </w:p>
        </w:tc>
      </w:tr>
      <w:tr>
        <w:tc>
          <w:tcPr>
            <w:tcW w:type="dxa" w:w="1800"/>
            <w:vAlign w:val="center"/>
            <w:tcMar>
              <w:top w:w="100" w:type="dxa"/>
              <w:start w:w="140" w:type="dxa"/>
              <w:bottom w:w="100" w:type="dxa"/>
              <w:end w:w="140" w:type="dxa"/>
            </w:tcMar>
          </w:tcPr>
          <w:p>
            <w:r>
              <w:rPr>
                <w:rFonts w:ascii="Aptos" w:hAnsi="Aptos"/>
                <w:b w:val="0"/>
                <w:i w:val="0"/>
                <w:color w:val="2F292B"/>
                <w:sz w:val="18"/>
              </w:rPr>
              <w:t>Book party</w:t>
            </w:r>
          </w:p>
        </w:tc>
        <w:tc>
          <w:tcPr>
            <w:tcW w:type="dxa" w:w="4550"/>
            <w:vAlign w:val="center"/>
            <w:tcMar>
              <w:top w:w="100" w:type="dxa"/>
              <w:start w:w="140" w:type="dxa"/>
              <w:bottom w:w="100" w:type="dxa"/>
              <w:end w:w="140" w:type="dxa"/>
            </w:tcMar>
          </w:tcPr>
          <w:p>
            <w:r>
              <w:rPr>
                <w:rFonts w:ascii="Aptos" w:hAnsi="Aptos"/>
                <w:b w:val="0"/>
                <w:i w:val="0"/>
                <w:color w:val="2F292B"/>
                <w:sz w:val="18"/>
              </w:rPr>
              <w:t>Hardcover, signed bookplate, reading card, discussion card, wordless table visual</w:t>
            </w:r>
          </w:p>
        </w:tc>
        <w:tc>
          <w:tcPr>
            <w:tcW w:type="dxa" w:w="3010"/>
            <w:vAlign w:val="center"/>
            <w:tcMar>
              <w:top w:w="100" w:type="dxa"/>
              <w:start w:w="140" w:type="dxa"/>
              <w:bottom w:w="100" w:type="dxa"/>
              <w:end w:w="140" w:type="dxa"/>
            </w:tcMar>
          </w:tcPr>
          <w:p>
            <w:r>
              <w:rPr>
                <w:rFonts w:ascii="Aptos" w:hAnsi="Aptos"/>
                <w:b w:val="0"/>
                <w:i w:val="0"/>
                <w:color w:val="2F292B"/>
                <w:sz w:val="18"/>
              </w:rPr>
              <w:t>Host guide and event run of show</w:t>
            </w:r>
          </w:p>
        </w:tc>
      </w:tr>
      <w:tr>
        <w:tc>
          <w:tcPr>
            <w:tcW w:type="dxa" w:w="1800"/>
            <w:vAlign w:val="center"/>
            <w:tcMar>
              <w:top w:w="100" w:type="dxa"/>
              <w:start w:w="140" w:type="dxa"/>
              <w:bottom w:w="100" w:type="dxa"/>
              <w:end w:w="140" w:type="dxa"/>
            </w:tcMar>
          </w:tcPr>
          <w:p>
            <w:r>
              <w:rPr>
                <w:rFonts w:ascii="Aptos" w:hAnsi="Aptos"/>
                <w:b w:val="0"/>
                <w:i w:val="0"/>
                <w:color w:val="2F292B"/>
                <w:sz w:val="18"/>
              </w:rPr>
              <w:t>Gift</w:t>
            </w:r>
          </w:p>
        </w:tc>
        <w:tc>
          <w:tcPr>
            <w:tcW w:type="dxa" w:w="4550"/>
            <w:vAlign w:val="center"/>
            <w:tcMar>
              <w:top w:w="100" w:type="dxa"/>
              <w:start w:w="140" w:type="dxa"/>
              <w:bottom w:w="100" w:type="dxa"/>
              <w:end w:w="140" w:type="dxa"/>
            </w:tcMar>
          </w:tcPr>
          <w:p>
            <w:r>
              <w:rPr>
                <w:rFonts w:ascii="Aptos" w:hAnsi="Aptos"/>
                <w:b w:val="0"/>
                <w:i w:val="0"/>
                <w:color w:val="2F292B"/>
                <w:sz w:val="18"/>
              </w:rPr>
              <w:t>Gift-ready wrap or sleeve, personal inscription space, audio access card</w:t>
            </w:r>
          </w:p>
        </w:tc>
        <w:tc>
          <w:tcPr>
            <w:tcW w:type="dxa" w:w="3010"/>
            <w:vAlign w:val="center"/>
            <w:tcMar>
              <w:top w:w="100" w:type="dxa"/>
              <w:start w:w="140" w:type="dxa"/>
              <w:bottom w:w="100" w:type="dxa"/>
              <w:end w:w="140" w:type="dxa"/>
            </w:tcMar>
          </w:tcPr>
          <w:p>
            <w:r>
              <w:rPr>
                <w:rFonts w:ascii="Aptos" w:hAnsi="Aptos"/>
                <w:b w:val="0"/>
                <w:i w:val="0"/>
                <w:color w:val="2F292B"/>
                <w:sz w:val="18"/>
              </w:rPr>
              <w:t>Recipient welcome letter</w:t>
            </w:r>
          </w:p>
        </w:tc>
      </w:tr>
      <w:tr>
        <w:tc>
          <w:tcPr>
            <w:tcW w:type="dxa" w:w="1800"/>
            <w:vAlign w:val="center"/>
            <w:tcMar>
              <w:top w:w="100" w:type="dxa"/>
              <w:start w:w="140" w:type="dxa"/>
              <w:bottom w:w="100" w:type="dxa"/>
              <w:end w:w="140" w:type="dxa"/>
            </w:tcMar>
          </w:tcPr>
          <w:p>
            <w:r>
              <w:rPr>
                <w:rFonts w:ascii="Aptos" w:hAnsi="Aptos"/>
                <w:b w:val="0"/>
                <w:i w:val="0"/>
                <w:color w:val="2F292B"/>
                <w:sz w:val="18"/>
              </w:rPr>
              <w:t>Commemorative release</w:t>
            </w:r>
          </w:p>
        </w:tc>
        <w:tc>
          <w:tcPr>
            <w:tcW w:type="dxa" w:w="4550"/>
            <w:vAlign w:val="center"/>
            <w:tcMar>
              <w:top w:w="100" w:type="dxa"/>
              <w:start w:w="140" w:type="dxa"/>
              <w:bottom w:w="100" w:type="dxa"/>
              <w:end w:w="140" w:type="dxa"/>
            </w:tcMar>
          </w:tcPr>
          <w:p>
            <w:r>
              <w:rPr>
                <w:rFonts w:ascii="Aptos" w:hAnsi="Aptos"/>
                <w:b w:val="0"/>
                <w:i w:val="0"/>
                <w:color w:val="2F292B"/>
                <w:sz w:val="18"/>
              </w:rPr>
              <w:t>Numbered or dated edition, founder essay, archival photography or wordless art</w:t>
            </w:r>
          </w:p>
        </w:tc>
        <w:tc>
          <w:tcPr>
            <w:tcW w:type="dxa" w:w="3010"/>
            <w:vAlign w:val="center"/>
            <w:tcMar>
              <w:top w:w="100" w:type="dxa"/>
              <w:start w:w="140" w:type="dxa"/>
              <w:bottom w:w="100" w:type="dxa"/>
              <w:end w:w="140" w:type="dxa"/>
            </w:tcMar>
          </w:tcPr>
          <w:p>
            <w:r>
              <w:rPr>
                <w:rFonts w:ascii="Aptos" w:hAnsi="Aptos"/>
                <w:b w:val="0"/>
                <w:i w:val="0"/>
                <w:color w:val="2F292B"/>
                <w:sz w:val="18"/>
              </w:rPr>
              <w:t>Provenance and edition record</w:t>
            </w:r>
          </w:p>
        </w:tc>
      </w:tr>
      <w:tr>
        <w:tc>
          <w:tcPr>
            <w:tcW w:type="dxa" w:w="1800"/>
            <w:vAlign w:val="center"/>
            <w:tcMar>
              <w:top w:w="100" w:type="dxa"/>
              <w:start w:w="140" w:type="dxa"/>
              <w:bottom w:w="100" w:type="dxa"/>
              <w:end w:w="140" w:type="dxa"/>
            </w:tcMar>
          </w:tcPr>
          <w:p>
            <w:r>
              <w:rPr>
                <w:rFonts w:ascii="Aptos" w:hAnsi="Aptos"/>
                <w:b w:val="0"/>
                <w:i w:val="0"/>
                <w:color w:val="2F292B"/>
                <w:sz w:val="18"/>
              </w:rPr>
              <w:t>Program or retreat</w:t>
            </w:r>
          </w:p>
        </w:tc>
        <w:tc>
          <w:tcPr>
            <w:tcW w:type="dxa" w:w="4550"/>
            <w:vAlign w:val="center"/>
            <w:tcMar>
              <w:top w:w="100" w:type="dxa"/>
              <w:start w:w="140" w:type="dxa"/>
              <w:bottom w:w="100" w:type="dxa"/>
              <w:end w:w="140" w:type="dxa"/>
            </w:tcMar>
          </w:tcPr>
          <w:p>
            <w:r>
              <w:rPr>
                <w:rFonts w:ascii="Aptos" w:hAnsi="Aptos"/>
                <w:b w:val="0"/>
                <w:i w:val="0"/>
                <w:color w:val="2F292B"/>
                <w:sz w:val="18"/>
              </w:rPr>
              <w:t>Durable hardcover or lay-flat companion, tabs, generous writing space</w:t>
            </w:r>
          </w:p>
        </w:tc>
        <w:tc>
          <w:tcPr>
            <w:tcW w:type="dxa" w:w="3010"/>
            <w:vAlign w:val="center"/>
            <w:tcMar>
              <w:top w:w="100" w:type="dxa"/>
              <w:start w:w="140" w:type="dxa"/>
              <w:bottom w:w="100" w:type="dxa"/>
              <w:end w:w="140" w:type="dxa"/>
            </w:tcMar>
          </w:tcPr>
          <w:p>
            <w:r>
              <w:rPr>
                <w:rFonts w:ascii="Aptos" w:hAnsi="Aptos"/>
                <w:b w:val="0"/>
                <w:i w:val="0"/>
                <w:color w:val="2F292B"/>
                <w:sz w:val="18"/>
              </w:rPr>
              <w:t>Facilitator guide and session plan</w:t>
            </w:r>
          </w:p>
        </w:tc>
      </w:tr>
      <w:tr>
        <w:tc>
          <w:tcPr>
            <w:tcW w:type="dxa" w:w="1800"/>
            <w:vAlign w:val="center"/>
            <w:tcMar>
              <w:top w:w="100" w:type="dxa"/>
              <w:start w:w="140" w:type="dxa"/>
              <w:bottom w:w="100" w:type="dxa"/>
              <w:end w:w="140" w:type="dxa"/>
            </w:tcMar>
          </w:tcPr>
          <w:p>
            <w:r>
              <w:rPr>
                <w:rFonts w:ascii="Aptos" w:hAnsi="Aptos"/>
                <w:b w:val="0"/>
                <w:i w:val="0"/>
                <w:color w:val="2F292B"/>
                <w:sz w:val="18"/>
              </w:rPr>
              <w:t>Personal library</w:t>
            </w:r>
          </w:p>
        </w:tc>
        <w:tc>
          <w:tcPr>
            <w:tcW w:type="dxa" w:w="4550"/>
            <w:vAlign w:val="center"/>
            <w:tcMar>
              <w:top w:w="100" w:type="dxa"/>
              <w:start w:w="140" w:type="dxa"/>
              <w:bottom w:w="100" w:type="dxa"/>
              <w:end w:w="140" w:type="dxa"/>
            </w:tcMar>
          </w:tcPr>
          <w:p>
            <w:r>
              <w:rPr>
                <w:rFonts w:ascii="Aptos" w:hAnsi="Aptos"/>
                <w:b w:val="0"/>
                <w:i w:val="0"/>
                <w:color w:val="2F292B"/>
                <w:sz w:val="18"/>
              </w:rPr>
              <w:t>Coherent spine system, series mark, premium paper, durable binding</w:t>
            </w:r>
          </w:p>
        </w:tc>
        <w:tc>
          <w:tcPr>
            <w:tcW w:type="dxa" w:w="3010"/>
            <w:vAlign w:val="center"/>
            <w:tcMar>
              <w:top w:w="100" w:type="dxa"/>
              <w:start w:w="140" w:type="dxa"/>
              <w:bottom w:w="100" w:type="dxa"/>
              <w:end w:w="140" w:type="dxa"/>
            </w:tcMar>
          </w:tcPr>
          <w:p>
            <w:r>
              <w:rPr>
                <w:rFonts w:ascii="Aptos" w:hAnsi="Aptos"/>
                <w:b w:val="0"/>
                <w:i w:val="0"/>
                <w:color w:val="2F292B"/>
                <w:sz w:val="18"/>
              </w:rPr>
              <w:t>Collection map and reading pathway card</w:t>
            </w:r>
          </w:p>
        </w:tc>
      </w:tr>
    </w:tbl>
    <w:p/>
    <w:p>
      <w:pPr>
        <w:pStyle w:val="Heading2"/>
      </w:pPr>
      <w:r>
        <w:t>Print production checklist</w:t>
      </w:r>
    </w:p>
    <w:p>
      <w:pPr>
        <w:pStyle w:val="ListBullet"/>
      </w:pPr>
      <w:r>
        <w:rPr>
          <w:rFonts w:ascii="Aptos" w:hAnsi="Aptos"/>
          <w:b w:val="0"/>
          <w:i w:val="0"/>
          <w:color w:val="2F292B"/>
          <w:sz w:val="21"/>
        </w:rPr>
        <w:t>Confirm trim, paper, binding, spine width, color profile, bleed, safe area, barcode, imprint, copyright, ISBN, edition statement, and proof copy.</w:t>
      </w:r>
    </w:p>
    <w:p>
      <w:pPr>
        <w:pStyle w:val="ListBullet"/>
      </w:pPr>
      <w:r>
        <w:rPr>
          <w:rFonts w:ascii="Aptos" w:hAnsi="Aptos"/>
          <w:b w:val="0"/>
          <w:i w:val="0"/>
          <w:color w:val="2F292B"/>
          <w:sz w:val="21"/>
        </w:rPr>
        <w:t>Inspect cover under warm and cool light. Inspect every interior page at 100 percent and as imposed spreads.</w:t>
      </w:r>
    </w:p>
    <w:p>
      <w:pPr>
        <w:pStyle w:val="ListBullet"/>
      </w:pPr>
      <w:r>
        <w:rPr>
          <w:rFonts w:ascii="Aptos" w:hAnsi="Aptos"/>
          <w:b w:val="0"/>
          <w:i w:val="0"/>
          <w:color w:val="2F292B"/>
          <w:sz w:val="21"/>
        </w:rPr>
        <w:t>Confirm QR or short links resolve to durable owned destinations and provide a typed alternative.</w:t>
      </w:r>
    </w:p>
    <w:p>
      <w:pPr>
        <w:pStyle w:val="ListBullet"/>
      </w:pPr>
      <w:r>
        <w:rPr>
          <w:rFonts w:ascii="Aptos" w:hAnsi="Aptos"/>
          <w:b w:val="0"/>
          <w:i w:val="0"/>
          <w:color w:val="2F292B"/>
          <w:sz w:val="21"/>
        </w:rPr>
        <w:t>Keep access to audio independent of the printed book when accessibility or account recovery requires it.</w:t>
      </w:r>
    </w:p>
    <w:p>
      <w:pPr>
        <w:pStyle w:val="ListBullet"/>
      </w:pPr>
      <w:r>
        <w:rPr>
          <w:rFonts w:ascii="Aptos" w:hAnsi="Aptos"/>
          <w:b w:val="0"/>
          <w:i w:val="0"/>
          <w:color w:val="2F292B"/>
          <w:sz w:val="21"/>
        </w:rPr>
        <w:t>Archive final interior PDF, cover PDF, editable master, fonts and licenses, print specification, proof approval, and release record.</w:t>
      </w:r>
    </w:p>
    <w:p>
      <w:pPr>
        <w:pStyle w:val="Heading1"/>
      </w:pPr>
      <w:r>
        <w:t>5. Seven themed pathways</w:t>
      </w:r>
    </w:p>
    <w:p>
      <w:pPr>
        <w:pStyle w:val="Heading2"/>
      </w:pPr>
      <w:r>
        <w:t>Professional Calling: Calling and Convergence</w:t>
      </w:r>
    </w:p>
    <w:p>
      <w:r>
        <w:rPr>
          <w:rFonts w:ascii="Aptos" w:hAnsi="Aptos"/>
          <w:b w:val="0"/>
          <w:i w:val="0"/>
          <w:color w:val="2F292B"/>
          <w:sz w:val="21"/>
        </w:rPr>
        <w:t>Professionally accomplished women discerning how preparation, faith, lived experience, and responsibility converge.</w:t>
      </w:r>
    </w:p>
    <w:p>
      <w:r>
        <w:rPr>
          <w:rFonts w:ascii="Aptos" w:hAnsi="Aptos"/>
          <w:b/>
          <w:i w:val="0"/>
          <w:color w:val="2F292B"/>
          <w:sz w:val="21"/>
        </w:rPr>
        <w:t>Pathway promise:</w:t>
      </w:r>
      <w:r>
        <w:rPr>
          <w:rFonts w:ascii="Aptos" w:hAnsi="Aptos"/>
          <w:b w:val="0"/>
          <w:i w:val="0"/>
          <w:color w:val="2F292B"/>
          <w:sz w:val="21"/>
        </w:rPr>
        <w:t xml:space="preserve"> Name the pattern. Test its meaning. Choose one proportionate response.</w:t>
      </w:r>
    </w:p>
    <w:p>
      <w:r>
        <w:rPr>
          <w:rFonts w:ascii="Aptos" w:hAnsi="Aptos"/>
          <w:b/>
          <w:i w:val="0"/>
          <w:color w:val="2F292B"/>
          <w:sz w:val="21"/>
        </w:rPr>
        <w:t>Scripture anchors:</w:t>
      </w:r>
      <w:r>
        <w:rPr>
          <w:rFonts w:ascii="Aptos" w:hAnsi="Aptos"/>
          <w:b w:val="0"/>
          <w:i w:val="0"/>
          <w:color w:val="2F292B"/>
          <w:sz w:val="21"/>
        </w:rPr>
        <w:t xml:space="preserve"> Romans 12:2, Ephesians 2:10, Proverbs 3:5–6.</w:t>
      </w:r>
    </w:p>
    <w:p>
      <w:pPr>
        <w:pStyle w:val="ListBullet"/>
      </w:pPr>
      <w:r>
        <w:rPr>
          <w:rFonts w:ascii="Aptos" w:hAnsi="Aptos"/>
          <w:b w:val="0"/>
          <w:i w:val="0"/>
          <w:color w:val="2F292B"/>
          <w:sz w:val="21"/>
        </w:rPr>
        <w:t>Entry: one free narrated chapter and a one-page reflection invitation.</w:t>
      </w:r>
    </w:p>
    <w:p>
      <w:pPr>
        <w:pStyle w:val="ListBullet"/>
      </w:pPr>
      <w:r>
        <w:rPr>
          <w:rFonts w:ascii="Aptos" w:hAnsi="Aptos"/>
          <w:b w:val="0"/>
          <w:i w:val="0"/>
          <w:color w:val="2F292B"/>
          <w:sz w:val="21"/>
        </w:rPr>
        <w:t>Core: audiobook and e-book bundle with a complete pathway companion.</w:t>
      </w:r>
    </w:p>
    <w:p>
      <w:pPr>
        <w:pStyle w:val="ListBullet"/>
      </w:pPr>
      <w:r>
        <w:rPr>
          <w:rFonts w:ascii="Aptos" w:hAnsi="Aptos"/>
          <w:b w:val="0"/>
          <w:i w:val="0"/>
          <w:color w:val="2F292B"/>
          <w:sz w:val="21"/>
        </w:rPr>
        <w:t>Continuity: a facilitated circle, founder letter, and next pathway recommendation.</w:t>
      </w:r>
    </w:p>
    <w:p>
      <w:pPr>
        <w:pStyle w:val="ListBullet"/>
      </w:pPr>
      <w:r>
        <w:rPr>
          <w:rFonts w:ascii="Aptos" w:hAnsi="Aptos"/>
          <w:b w:val="0"/>
          <w:i w:val="0"/>
          <w:color w:val="2F292B"/>
          <w:sz w:val="21"/>
        </w:rPr>
        <w:t>Premium: hardcover collection, author conversation, retreat, cohort, or organization experience as appropriate.</w:t>
      </w:r>
    </w:p>
    <w:p>
      <w:pPr>
        <w:pStyle w:val="Heading2"/>
      </w:pPr>
      <w:r>
        <w:t>Prophetic Formation: Prophetic Formation Immersion</w:t>
      </w:r>
    </w:p>
    <w:p>
      <w:r>
        <w:rPr>
          <w:rFonts w:ascii="Aptos" w:hAnsi="Aptos"/>
          <w:b w:val="0"/>
          <w:i w:val="0"/>
          <w:color w:val="2F292B"/>
          <w:sz w:val="21"/>
        </w:rPr>
        <w:t>Readers learning to hear, test, mature, and steward spiritual impressions with humility and accountability.</w:t>
      </w:r>
    </w:p>
    <w:p>
      <w:r>
        <w:rPr>
          <w:rFonts w:ascii="Aptos" w:hAnsi="Aptos"/>
          <w:b/>
          <w:i w:val="0"/>
          <w:color w:val="2F292B"/>
          <w:sz w:val="21"/>
        </w:rPr>
        <w:t>Pathway promise:</w:t>
      </w:r>
      <w:r>
        <w:rPr>
          <w:rFonts w:ascii="Aptos" w:hAnsi="Aptos"/>
          <w:b w:val="0"/>
          <w:i w:val="0"/>
          <w:color w:val="2F292B"/>
          <w:sz w:val="21"/>
        </w:rPr>
        <w:t xml:space="preserve"> Hear. Discern. Respond. Steward.</w:t>
      </w:r>
    </w:p>
    <w:p>
      <w:r>
        <w:rPr>
          <w:rFonts w:ascii="Aptos" w:hAnsi="Aptos"/>
          <w:b/>
          <w:i w:val="0"/>
          <w:color w:val="2F292B"/>
          <w:sz w:val="21"/>
        </w:rPr>
        <w:t>Scripture anchors:</w:t>
      </w:r>
      <w:r>
        <w:rPr>
          <w:rFonts w:ascii="Aptos" w:hAnsi="Aptos"/>
          <w:b w:val="0"/>
          <w:i w:val="0"/>
          <w:color w:val="2F292B"/>
          <w:sz w:val="21"/>
        </w:rPr>
        <w:t xml:space="preserve"> 1 Thessalonians 5:19–22, 1 Corinthians 14:3, James 3:17.</w:t>
      </w:r>
    </w:p>
    <w:p>
      <w:pPr>
        <w:pStyle w:val="ListBullet"/>
      </w:pPr>
      <w:r>
        <w:rPr>
          <w:rFonts w:ascii="Aptos" w:hAnsi="Aptos"/>
          <w:b w:val="0"/>
          <w:i w:val="0"/>
          <w:color w:val="2F292B"/>
          <w:sz w:val="21"/>
        </w:rPr>
        <w:t>Entry: one free narrated chapter and a one-page reflection invitation.</w:t>
      </w:r>
    </w:p>
    <w:p>
      <w:pPr>
        <w:pStyle w:val="ListBullet"/>
      </w:pPr>
      <w:r>
        <w:rPr>
          <w:rFonts w:ascii="Aptos" w:hAnsi="Aptos"/>
          <w:b w:val="0"/>
          <w:i w:val="0"/>
          <w:color w:val="2F292B"/>
          <w:sz w:val="21"/>
        </w:rPr>
        <w:t>Core: audiobook and e-book bundle with a complete pathway companion.</w:t>
      </w:r>
    </w:p>
    <w:p>
      <w:pPr>
        <w:pStyle w:val="ListBullet"/>
      </w:pPr>
      <w:r>
        <w:rPr>
          <w:rFonts w:ascii="Aptos" w:hAnsi="Aptos"/>
          <w:b w:val="0"/>
          <w:i w:val="0"/>
          <w:color w:val="2F292B"/>
          <w:sz w:val="21"/>
        </w:rPr>
        <w:t>Continuity: a facilitated circle, founder letter, and next pathway recommendation.</w:t>
      </w:r>
    </w:p>
    <w:p>
      <w:pPr>
        <w:pStyle w:val="ListBullet"/>
      </w:pPr>
      <w:r>
        <w:rPr>
          <w:rFonts w:ascii="Aptos" w:hAnsi="Aptos"/>
          <w:b w:val="0"/>
          <w:i w:val="0"/>
          <w:color w:val="2F292B"/>
          <w:sz w:val="21"/>
        </w:rPr>
        <w:t>Premium: hardcover collection, author conversation, retreat, cohort, or organization experience as appropriate.</w:t>
      </w:r>
    </w:p>
    <w:p>
      <w:pPr>
        <w:pStyle w:val="Heading2"/>
      </w:pPr>
      <w:r>
        <w:t>Leadership: To Lead Is to Follow First</w:t>
      </w:r>
    </w:p>
    <w:p>
      <w:r>
        <w:rPr>
          <w:rFonts w:ascii="Aptos" w:hAnsi="Aptos"/>
          <w:b w:val="0"/>
          <w:i w:val="0"/>
          <w:color w:val="2F292B"/>
          <w:sz w:val="21"/>
        </w:rPr>
        <w:t>Leaders, founders, educators, clinicians, and emerging leaders forming authority through service.</w:t>
      </w:r>
    </w:p>
    <w:p>
      <w:r>
        <w:rPr>
          <w:rFonts w:ascii="Aptos" w:hAnsi="Aptos"/>
          <w:b/>
          <w:i w:val="0"/>
          <w:color w:val="2F292B"/>
          <w:sz w:val="21"/>
        </w:rPr>
        <w:t>Pathway promise:</w:t>
      </w:r>
      <w:r>
        <w:rPr>
          <w:rFonts w:ascii="Aptos" w:hAnsi="Aptos"/>
          <w:b w:val="0"/>
          <w:i w:val="0"/>
          <w:color w:val="2F292B"/>
          <w:sz w:val="21"/>
        </w:rPr>
        <w:t xml:space="preserve"> Let service, character, and responsibility shape authority.</w:t>
      </w:r>
    </w:p>
    <w:p>
      <w:r>
        <w:rPr>
          <w:rFonts w:ascii="Aptos" w:hAnsi="Aptos"/>
          <w:b/>
          <w:i w:val="0"/>
          <w:color w:val="2F292B"/>
          <w:sz w:val="21"/>
        </w:rPr>
        <w:t>Scripture anchors:</w:t>
      </w:r>
      <w:r>
        <w:rPr>
          <w:rFonts w:ascii="Aptos" w:hAnsi="Aptos"/>
          <w:b w:val="0"/>
          <w:i w:val="0"/>
          <w:color w:val="2F292B"/>
          <w:sz w:val="21"/>
        </w:rPr>
        <w:t xml:space="preserve"> Mark 10:42–45, John 13:12–15, Micah 6:8.</w:t>
      </w:r>
    </w:p>
    <w:p>
      <w:pPr>
        <w:pStyle w:val="ListBullet"/>
      </w:pPr>
      <w:r>
        <w:rPr>
          <w:rFonts w:ascii="Aptos" w:hAnsi="Aptos"/>
          <w:b w:val="0"/>
          <w:i w:val="0"/>
          <w:color w:val="2F292B"/>
          <w:sz w:val="21"/>
        </w:rPr>
        <w:t>Entry: one free narrated chapter and a one-page reflection invitation.</w:t>
      </w:r>
    </w:p>
    <w:p>
      <w:pPr>
        <w:pStyle w:val="ListBullet"/>
      </w:pPr>
      <w:r>
        <w:rPr>
          <w:rFonts w:ascii="Aptos" w:hAnsi="Aptos"/>
          <w:b w:val="0"/>
          <w:i w:val="0"/>
          <w:color w:val="2F292B"/>
          <w:sz w:val="21"/>
        </w:rPr>
        <w:t>Core: audiobook and e-book bundle with a complete pathway companion.</w:t>
      </w:r>
    </w:p>
    <w:p>
      <w:pPr>
        <w:pStyle w:val="ListBullet"/>
      </w:pPr>
      <w:r>
        <w:rPr>
          <w:rFonts w:ascii="Aptos" w:hAnsi="Aptos"/>
          <w:b w:val="0"/>
          <w:i w:val="0"/>
          <w:color w:val="2F292B"/>
          <w:sz w:val="21"/>
        </w:rPr>
        <w:t>Continuity: a facilitated circle, founder letter, and next pathway recommendation.</w:t>
      </w:r>
    </w:p>
    <w:p>
      <w:pPr>
        <w:pStyle w:val="ListBullet"/>
      </w:pPr>
      <w:r>
        <w:rPr>
          <w:rFonts w:ascii="Aptos" w:hAnsi="Aptos"/>
          <w:b w:val="0"/>
          <w:i w:val="0"/>
          <w:color w:val="2F292B"/>
          <w:sz w:val="21"/>
        </w:rPr>
        <w:t>Premium: hardcover collection, author conversation, retreat, cohort, or organization experience as appropriate.</w:t>
      </w:r>
    </w:p>
    <w:p>
      <w:pPr>
        <w:pStyle w:val="Heading2"/>
      </w:pPr>
      <w:r>
        <w:t>Spiritual Identity: The Prophet Who Has Come Home</w:t>
      </w:r>
    </w:p>
    <w:p>
      <w:r>
        <w:rPr>
          <w:rFonts w:ascii="Aptos" w:hAnsi="Aptos"/>
          <w:b w:val="0"/>
          <w:i w:val="0"/>
          <w:color w:val="2F292B"/>
          <w:sz w:val="21"/>
        </w:rPr>
        <w:t>Readers integrating identity, belonging, faith, intellect, history, and calling.</w:t>
      </w:r>
    </w:p>
    <w:p>
      <w:r>
        <w:rPr>
          <w:rFonts w:ascii="Aptos" w:hAnsi="Aptos"/>
          <w:b/>
          <w:i w:val="0"/>
          <w:color w:val="2F292B"/>
          <w:sz w:val="21"/>
        </w:rPr>
        <w:t>Pathway promise:</w:t>
      </w:r>
      <w:r>
        <w:rPr>
          <w:rFonts w:ascii="Aptos" w:hAnsi="Aptos"/>
          <w:b w:val="0"/>
          <w:i w:val="0"/>
          <w:color w:val="2F292B"/>
          <w:sz w:val="21"/>
        </w:rPr>
        <w:t xml:space="preserve"> Return without shrinking. Belong without fragmenting.</w:t>
      </w:r>
    </w:p>
    <w:p>
      <w:r>
        <w:rPr>
          <w:rFonts w:ascii="Aptos" w:hAnsi="Aptos"/>
          <w:b/>
          <w:i w:val="0"/>
          <w:color w:val="2F292B"/>
          <w:sz w:val="21"/>
        </w:rPr>
        <w:t>Scripture anchors:</w:t>
      </w:r>
      <w:r>
        <w:rPr>
          <w:rFonts w:ascii="Aptos" w:hAnsi="Aptos"/>
          <w:b w:val="0"/>
          <w:i w:val="0"/>
          <w:color w:val="2F292B"/>
          <w:sz w:val="21"/>
        </w:rPr>
        <w:t xml:space="preserve"> Isaiah 43:1, Galatians 2:20, Psalm 139:13–18.</w:t>
      </w:r>
    </w:p>
    <w:p>
      <w:pPr>
        <w:pStyle w:val="ListBullet"/>
      </w:pPr>
      <w:r>
        <w:rPr>
          <w:rFonts w:ascii="Aptos" w:hAnsi="Aptos"/>
          <w:b w:val="0"/>
          <w:i w:val="0"/>
          <w:color w:val="2F292B"/>
          <w:sz w:val="21"/>
        </w:rPr>
        <w:t>Entry: one free narrated chapter and a one-page reflection invitation.</w:t>
      </w:r>
    </w:p>
    <w:p>
      <w:pPr>
        <w:pStyle w:val="ListBullet"/>
      </w:pPr>
      <w:r>
        <w:rPr>
          <w:rFonts w:ascii="Aptos" w:hAnsi="Aptos"/>
          <w:b w:val="0"/>
          <w:i w:val="0"/>
          <w:color w:val="2F292B"/>
          <w:sz w:val="21"/>
        </w:rPr>
        <w:t>Core: audiobook and e-book bundle with a complete pathway companion.</w:t>
      </w:r>
    </w:p>
    <w:p>
      <w:pPr>
        <w:pStyle w:val="ListBullet"/>
      </w:pPr>
      <w:r>
        <w:rPr>
          <w:rFonts w:ascii="Aptos" w:hAnsi="Aptos"/>
          <w:b w:val="0"/>
          <w:i w:val="0"/>
          <w:color w:val="2F292B"/>
          <w:sz w:val="21"/>
        </w:rPr>
        <w:t>Continuity: a facilitated circle, founder letter, and next pathway recommendation.</w:t>
      </w:r>
    </w:p>
    <w:p>
      <w:pPr>
        <w:pStyle w:val="ListBullet"/>
      </w:pPr>
      <w:r>
        <w:rPr>
          <w:rFonts w:ascii="Aptos" w:hAnsi="Aptos"/>
          <w:b w:val="0"/>
          <w:i w:val="0"/>
          <w:color w:val="2F292B"/>
          <w:sz w:val="21"/>
        </w:rPr>
        <w:t>Premium: hardcover collection, author conversation, retreat, cohort, or organization experience as appropriate.</w:t>
      </w:r>
    </w:p>
    <w:p>
      <w:pPr>
        <w:pStyle w:val="Heading2"/>
      </w:pPr>
      <w:r>
        <w:t>Transitions: Becoming Through Alignment</w:t>
      </w:r>
    </w:p>
    <w:p>
      <w:r>
        <w:rPr>
          <w:rFonts w:ascii="Aptos" w:hAnsi="Aptos"/>
          <w:b w:val="0"/>
          <w:i w:val="0"/>
          <w:color w:val="2F292B"/>
          <w:sz w:val="21"/>
        </w:rPr>
        <w:t>Readers moving through endings, thresholds, relocation, role change, or expanding assignment.</w:t>
      </w:r>
    </w:p>
    <w:p>
      <w:r>
        <w:rPr>
          <w:rFonts w:ascii="Aptos" w:hAnsi="Aptos"/>
          <w:b/>
          <w:i w:val="0"/>
          <w:color w:val="2F292B"/>
          <w:sz w:val="21"/>
        </w:rPr>
        <w:t>Pathway promise:</w:t>
      </w:r>
      <w:r>
        <w:rPr>
          <w:rFonts w:ascii="Aptos" w:hAnsi="Aptos"/>
          <w:b w:val="0"/>
          <w:i w:val="0"/>
          <w:color w:val="2F292B"/>
          <w:sz w:val="21"/>
        </w:rPr>
        <w:t xml:space="preserve"> Treat the threshold as a place of formation.</w:t>
      </w:r>
    </w:p>
    <w:p>
      <w:r>
        <w:rPr>
          <w:rFonts w:ascii="Aptos" w:hAnsi="Aptos"/>
          <w:b/>
          <w:i w:val="0"/>
          <w:color w:val="2F292B"/>
          <w:sz w:val="21"/>
        </w:rPr>
        <w:t>Scripture anchors:</w:t>
      </w:r>
      <w:r>
        <w:rPr>
          <w:rFonts w:ascii="Aptos" w:hAnsi="Aptos"/>
          <w:b w:val="0"/>
          <w:i w:val="0"/>
          <w:color w:val="2F292B"/>
          <w:sz w:val="21"/>
        </w:rPr>
        <w:t xml:space="preserve"> Isaiah 43:18–19, Ecclesiastes 3:1, Psalm 37:23–24.</w:t>
      </w:r>
    </w:p>
    <w:p>
      <w:pPr>
        <w:pStyle w:val="ListBullet"/>
      </w:pPr>
      <w:r>
        <w:rPr>
          <w:rFonts w:ascii="Aptos" w:hAnsi="Aptos"/>
          <w:b w:val="0"/>
          <w:i w:val="0"/>
          <w:color w:val="2F292B"/>
          <w:sz w:val="21"/>
        </w:rPr>
        <w:t>Entry: one free narrated chapter and a one-page reflection invitation.</w:t>
      </w:r>
    </w:p>
    <w:p>
      <w:pPr>
        <w:pStyle w:val="ListBullet"/>
      </w:pPr>
      <w:r>
        <w:rPr>
          <w:rFonts w:ascii="Aptos" w:hAnsi="Aptos"/>
          <w:b w:val="0"/>
          <w:i w:val="0"/>
          <w:color w:val="2F292B"/>
          <w:sz w:val="21"/>
        </w:rPr>
        <w:t>Core: audiobook and e-book bundle with a complete pathway companion.</w:t>
      </w:r>
    </w:p>
    <w:p>
      <w:pPr>
        <w:pStyle w:val="ListBullet"/>
      </w:pPr>
      <w:r>
        <w:rPr>
          <w:rFonts w:ascii="Aptos" w:hAnsi="Aptos"/>
          <w:b w:val="0"/>
          <w:i w:val="0"/>
          <w:color w:val="2F292B"/>
          <w:sz w:val="21"/>
        </w:rPr>
        <w:t>Continuity: a facilitated circle, founder letter, and next pathway recommendation.</w:t>
      </w:r>
    </w:p>
    <w:p>
      <w:pPr>
        <w:pStyle w:val="ListBullet"/>
      </w:pPr>
      <w:r>
        <w:rPr>
          <w:rFonts w:ascii="Aptos" w:hAnsi="Aptos"/>
          <w:b w:val="0"/>
          <w:i w:val="0"/>
          <w:color w:val="2F292B"/>
          <w:sz w:val="21"/>
        </w:rPr>
        <w:t>Premium: hardcover collection, author conversation, retreat, cohort, or organization experience as appropriate.</w:t>
      </w:r>
    </w:p>
    <w:p>
      <w:pPr>
        <w:pStyle w:val="Heading2"/>
      </w:pPr>
      <w:r>
        <w:t>Grief and Redemption: The Tender After</w:t>
      </w:r>
    </w:p>
    <w:p>
      <w:r>
        <w:rPr>
          <w:rFonts w:ascii="Aptos" w:hAnsi="Aptos"/>
          <w:b w:val="0"/>
          <w:i w:val="0"/>
          <w:color w:val="2F292B"/>
          <w:sz w:val="21"/>
        </w:rPr>
        <w:t>Readers carrying grief, disappointment, rupture, or a life being remade with tenderness.</w:t>
      </w:r>
    </w:p>
    <w:p>
      <w:r>
        <w:rPr>
          <w:rFonts w:ascii="Aptos" w:hAnsi="Aptos"/>
          <w:b/>
          <w:i w:val="0"/>
          <w:color w:val="2F292B"/>
          <w:sz w:val="21"/>
        </w:rPr>
        <w:t>Pathway promise:</w:t>
      </w:r>
      <w:r>
        <w:rPr>
          <w:rFonts w:ascii="Aptos" w:hAnsi="Aptos"/>
          <w:b w:val="0"/>
          <w:i w:val="0"/>
          <w:color w:val="2F292B"/>
          <w:sz w:val="21"/>
        </w:rPr>
        <w:t xml:space="preserve"> Honor loss without surrendering the possibility of redemptive meaning.</w:t>
      </w:r>
    </w:p>
    <w:p>
      <w:r>
        <w:rPr>
          <w:rFonts w:ascii="Aptos" w:hAnsi="Aptos"/>
          <w:b/>
          <w:i w:val="0"/>
          <w:color w:val="2F292B"/>
          <w:sz w:val="21"/>
        </w:rPr>
        <w:t>Scripture anchors:</w:t>
      </w:r>
      <w:r>
        <w:rPr>
          <w:rFonts w:ascii="Aptos" w:hAnsi="Aptos"/>
          <w:b w:val="0"/>
          <w:i w:val="0"/>
          <w:color w:val="2F292B"/>
          <w:sz w:val="21"/>
        </w:rPr>
        <w:t xml:space="preserve"> Psalm 34:18, Isaiah 61:1–3, Romans 8:28.</w:t>
      </w:r>
    </w:p>
    <w:p>
      <w:pPr>
        <w:pStyle w:val="ListBullet"/>
      </w:pPr>
      <w:r>
        <w:rPr>
          <w:rFonts w:ascii="Aptos" w:hAnsi="Aptos"/>
          <w:b w:val="0"/>
          <w:i w:val="0"/>
          <w:color w:val="2F292B"/>
          <w:sz w:val="21"/>
        </w:rPr>
        <w:t>Entry: one free narrated chapter and a one-page reflection invitation.</w:t>
      </w:r>
    </w:p>
    <w:p>
      <w:pPr>
        <w:pStyle w:val="ListBullet"/>
      </w:pPr>
      <w:r>
        <w:rPr>
          <w:rFonts w:ascii="Aptos" w:hAnsi="Aptos"/>
          <w:b w:val="0"/>
          <w:i w:val="0"/>
          <w:color w:val="2F292B"/>
          <w:sz w:val="21"/>
        </w:rPr>
        <w:t>Core: audiobook and e-book bundle with a complete pathway companion.</w:t>
      </w:r>
    </w:p>
    <w:p>
      <w:pPr>
        <w:pStyle w:val="ListBullet"/>
      </w:pPr>
      <w:r>
        <w:rPr>
          <w:rFonts w:ascii="Aptos" w:hAnsi="Aptos"/>
          <w:b w:val="0"/>
          <w:i w:val="0"/>
          <w:color w:val="2F292B"/>
          <w:sz w:val="21"/>
        </w:rPr>
        <w:t>Continuity: a facilitated circle, founder letter, and next pathway recommendation.</w:t>
      </w:r>
    </w:p>
    <w:p>
      <w:pPr>
        <w:pStyle w:val="ListBullet"/>
      </w:pPr>
      <w:r>
        <w:rPr>
          <w:rFonts w:ascii="Aptos" w:hAnsi="Aptos"/>
          <w:b w:val="0"/>
          <w:i w:val="0"/>
          <w:color w:val="2F292B"/>
          <w:sz w:val="21"/>
        </w:rPr>
        <w:t>Premium: hardcover collection, author conversation, retreat, cohort, or organization experience as appropriate.</w:t>
      </w:r>
    </w:p>
    <w:p>
      <w:pPr>
        <w:pStyle w:val="Heading2"/>
      </w:pPr>
      <w:r>
        <w:t>Assignments to Nations: Form Me as You Send Me</w:t>
      </w:r>
    </w:p>
    <w:p>
      <w:r>
        <w:rPr>
          <w:rFonts w:ascii="Aptos" w:hAnsi="Aptos"/>
          <w:b w:val="0"/>
          <w:i w:val="0"/>
          <w:color w:val="2F292B"/>
          <w:sz w:val="21"/>
        </w:rPr>
        <w:t>Readers discerning cross-cultural, public, institutional, or international service.</w:t>
      </w:r>
    </w:p>
    <w:p>
      <w:r>
        <w:rPr>
          <w:rFonts w:ascii="Aptos" w:hAnsi="Aptos"/>
          <w:b/>
          <w:i w:val="0"/>
          <w:color w:val="2F292B"/>
          <w:sz w:val="21"/>
        </w:rPr>
        <w:t>Pathway promise:</w:t>
      </w:r>
      <w:r>
        <w:rPr>
          <w:rFonts w:ascii="Aptos" w:hAnsi="Aptos"/>
          <w:b w:val="0"/>
          <w:i w:val="0"/>
          <w:color w:val="2F292B"/>
          <w:sz w:val="21"/>
        </w:rPr>
        <w:t xml:space="preserve"> Let formation precede reach and stewardship accompany sending.</w:t>
      </w:r>
    </w:p>
    <w:p>
      <w:r>
        <w:rPr>
          <w:rFonts w:ascii="Aptos" w:hAnsi="Aptos"/>
          <w:b/>
          <w:i w:val="0"/>
          <w:color w:val="2F292B"/>
          <w:sz w:val="21"/>
        </w:rPr>
        <w:t>Scripture anchors:</w:t>
      </w:r>
      <w:r>
        <w:rPr>
          <w:rFonts w:ascii="Aptos" w:hAnsi="Aptos"/>
          <w:b w:val="0"/>
          <w:i w:val="0"/>
          <w:color w:val="2F292B"/>
          <w:sz w:val="21"/>
        </w:rPr>
        <w:t xml:space="preserve"> Matthew 28:18–20, Acts 17:26–27, Micah 6:8.</w:t>
      </w:r>
    </w:p>
    <w:p>
      <w:pPr>
        <w:pStyle w:val="ListBullet"/>
      </w:pPr>
      <w:r>
        <w:rPr>
          <w:rFonts w:ascii="Aptos" w:hAnsi="Aptos"/>
          <w:b w:val="0"/>
          <w:i w:val="0"/>
          <w:color w:val="2F292B"/>
          <w:sz w:val="21"/>
        </w:rPr>
        <w:t>Entry: one free narrated chapter and a one-page reflection invitation.</w:t>
      </w:r>
    </w:p>
    <w:p>
      <w:pPr>
        <w:pStyle w:val="ListBullet"/>
      </w:pPr>
      <w:r>
        <w:rPr>
          <w:rFonts w:ascii="Aptos" w:hAnsi="Aptos"/>
          <w:b w:val="0"/>
          <w:i w:val="0"/>
          <w:color w:val="2F292B"/>
          <w:sz w:val="21"/>
        </w:rPr>
        <w:t>Core: audiobook and e-book bundle with a complete pathway companion.</w:t>
      </w:r>
    </w:p>
    <w:p>
      <w:pPr>
        <w:pStyle w:val="ListBullet"/>
      </w:pPr>
      <w:r>
        <w:rPr>
          <w:rFonts w:ascii="Aptos" w:hAnsi="Aptos"/>
          <w:b w:val="0"/>
          <w:i w:val="0"/>
          <w:color w:val="2F292B"/>
          <w:sz w:val="21"/>
        </w:rPr>
        <w:t>Continuity: a facilitated circle, founder letter, and next pathway recommendation.</w:t>
      </w:r>
    </w:p>
    <w:p>
      <w:pPr>
        <w:pStyle w:val="ListBullet"/>
      </w:pPr>
      <w:r>
        <w:rPr>
          <w:rFonts w:ascii="Aptos" w:hAnsi="Aptos"/>
          <w:b w:val="0"/>
          <w:i w:val="0"/>
          <w:color w:val="2F292B"/>
          <w:sz w:val="21"/>
        </w:rPr>
        <w:t>Premium: hardcover collection, author conversation, retreat, cohort, or organization experience as appropriate.</w:t>
      </w:r>
    </w:p>
    <w:p>
      <w:r>
        <w:br w:type="page"/>
      </w:r>
    </w:p>
    <w:p>
      <w:pPr>
        <w:pStyle w:val="Heading1"/>
      </w:pPr>
      <w:r>
        <w:t>6. The monthly continuity model</w:t>
      </w:r>
    </w:p>
    <w:p>
      <w:r>
        <w:rPr>
          <w:rFonts w:ascii="Aptos" w:hAnsi="Aptos"/>
          <w:b w:val="0"/>
          <w:i w:val="0"/>
          <w:color w:val="2F292B"/>
          <w:sz w:val="21"/>
        </w:rPr>
        <w:t>The book club is the continuity engine. Each month offers one complete digital book or guided audio experience, one companion, one founder communication, one facilitated reflection opportunity, and one clear bridge to deeper participation. Readers may join at any point without being made to feel behind.</w:t>
      </w:r>
    </w:p>
    <w:tbl>
      <w:tblPr>
        <w:tblStyle w:val="TableGrid"/>
        <w:tblW w:type="dxa" w:w="9360"/>
        <w:jc w:val="center"/>
        <w:tblLayout w:type="fixed"/>
        <w:tblLook w:firstColumn="1" w:firstRow="1" w:lastColumn="0" w:lastRow="0" w:noHBand="0" w:noVBand="1" w:val="04A0"/>
        <w:tblInd w:w="140" w:type="dxa"/>
      </w:tblPr>
      <w:tblGrid>
        <w:gridCol w:w="1200"/>
        <w:gridCol w:w="3300"/>
        <w:gridCol w:w="4860"/>
      </w:tblGrid>
      <w:tr>
        <w:trPr>
          <w:tblHeader w:val="true"/>
        </w:trPr>
        <w:tc>
          <w:tcPr>
            <w:tcW w:type="dxa" w:w="1200"/>
            <w:tcMar>
              <w:top w:w="100" w:type="dxa"/>
              <w:start w:w="140" w:type="dxa"/>
              <w:bottom w:w="100" w:type="dxa"/>
              <w:end w:w="140" w:type="dxa"/>
            </w:tcMar>
            <w:shd w:fill="762631"/>
            <w:vAlign w:val="center"/>
          </w:tcPr>
          <w:p>
            <w:r>
              <w:rPr>
                <w:rFonts w:ascii="Aptos" w:hAnsi="Aptos"/>
                <w:b/>
                <w:i w:val="0"/>
                <w:color w:val="FFFFFF"/>
                <w:sz w:val="18"/>
              </w:rPr>
              <w:t>Month</w:t>
            </w:r>
          </w:p>
        </w:tc>
        <w:tc>
          <w:tcPr>
            <w:tcW w:type="dxa" w:w="3300"/>
            <w:tcMar>
              <w:top w:w="100" w:type="dxa"/>
              <w:start w:w="140" w:type="dxa"/>
              <w:bottom w:w="100" w:type="dxa"/>
              <w:end w:w="140" w:type="dxa"/>
            </w:tcMar>
            <w:shd w:fill="762631"/>
            <w:vAlign w:val="center"/>
          </w:tcPr>
          <w:p>
            <w:r>
              <w:rPr>
                <w:rFonts w:ascii="Aptos" w:hAnsi="Aptos"/>
                <w:b/>
                <w:i w:val="0"/>
                <w:color w:val="FFFFFF"/>
                <w:sz w:val="18"/>
              </w:rPr>
              <w:t>Experience</w:t>
            </w:r>
          </w:p>
        </w:tc>
        <w:tc>
          <w:tcPr>
            <w:tcW w:type="dxa" w:w="4860"/>
            <w:tcMar>
              <w:top w:w="100" w:type="dxa"/>
              <w:start w:w="140" w:type="dxa"/>
              <w:bottom w:w="100" w:type="dxa"/>
              <w:end w:w="140" w:type="dxa"/>
            </w:tcMar>
            <w:shd w:fill="762631"/>
            <w:vAlign w:val="center"/>
          </w:tcPr>
          <w:p>
            <w:r>
              <w:rPr>
                <w:rFonts w:ascii="Aptos" w:hAnsi="Aptos"/>
                <w:b/>
                <w:i w:val="0"/>
                <w:color w:val="FFFFFF"/>
                <w:sz w:val="18"/>
              </w:rPr>
              <w:t>Central question</w:t>
            </w:r>
          </w:p>
        </w:tc>
      </w:tr>
      <w:tr>
        <w:tc>
          <w:tcPr>
            <w:tcW w:type="dxa" w:w="1200"/>
            <w:vAlign w:val="center"/>
            <w:tcMar>
              <w:top w:w="100" w:type="dxa"/>
              <w:start w:w="140" w:type="dxa"/>
              <w:bottom w:w="100" w:type="dxa"/>
              <w:end w:w="140" w:type="dxa"/>
            </w:tcMar>
          </w:tcPr>
          <w:p>
            <w:r>
              <w:rPr>
                <w:rFonts w:ascii="Aptos" w:hAnsi="Aptos"/>
                <w:b w:val="0"/>
                <w:i w:val="0"/>
                <w:color w:val="2F292B"/>
                <w:sz w:val="18"/>
              </w:rPr>
              <w:t>January</w:t>
            </w:r>
          </w:p>
        </w:tc>
        <w:tc>
          <w:tcPr>
            <w:tcW w:type="dxa" w:w="3300"/>
            <w:vAlign w:val="center"/>
            <w:tcMar>
              <w:top w:w="100" w:type="dxa"/>
              <w:start w:w="140" w:type="dxa"/>
              <w:bottom w:w="100" w:type="dxa"/>
              <w:end w:w="140" w:type="dxa"/>
            </w:tcMar>
          </w:tcPr>
          <w:p>
            <w:r>
              <w:rPr>
                <w:rFonts w:ascii="Aptos" w:hAnsi="Aptos"/>
                <w:b w:val="0"/>
                <w:i w:val="0"/>
                <w:color w:val="2F292B"/>
                <w:sz w:val="18"/>
              </w:rPr>
              <w:t>Calling and Convergence</w:t>
            </w:r>
          </w:p>
        </w:tc>
        <w:tc>
          <w:tcPr>
            <w:tcW w:type="dxa" w:w="4860"/>
            <w:vAlign w:val="center"/>
            <w:tcMar>
              <w:top w:w="100" w:type="dxa"/>
              <w:start w:w="140" w:type="dxa"/>
              <w:bottom w:w="100" w:type="dxa"/>
              <w:end w:w="140" w:type="dxa"/>
            </w:tcMar>
          </w:tcPr>
          <w:p>
            <w:r>
              <w:rPr>
                <w:rFonts w:ascii="Aptos" w:hAnsi="Aptos"/>
                <w:b w:val="0"/>
                <w:i w:val="0"/>
                <w:color w:val="2F292B"/>
                <w:sz w:val="18"/>
              </w:rPr>
              <w:t>Professional preparation and the pattern emerging beneath it.</w:t>
            </w:r>
          </w:p>
        </w:tc>
      </w:tr>
      <w:tr>
        <w:tc>
          <w:tcPr>
            <w:tcW w:type="dxa" w:w="1200"/>
            <w:vAlign w:val="center"/>
            <w:tcMar>
              <w:top w:w="100" w:type="dxa"/>
              <w:start w:w="140" w:type="dxa"/>
              <w:bottom w:w="100" w:type="dxa"/>
              <w:end w:w="140" w:type="dxa"/>
            </w:tcMar>
          </w:tcPr>
          <w:p>
            <w:r>
              <w:rPr>
                <w:rFonts w:ascii="Aptos" w:hAnsi="Aptos"/>
                <w:b w:val="0"/>
                <w:i w:val="0"/>
                <w:color w:val="2F292B"/>
                <w:sz w:val="18"/>
              </w:rPr>
              <w:t>February</w:t>
            </w:r>
          </w:p>
        </w:tc>
        <w:tc>
          <w:tcPr>
            <w:tcW w:type="dxa" w:w="3300"/>
            <w:vAlign w:val="center"/>
            <w:tcMar>
              <w:top w:w="100" w:type="dxa"/>
              <w:start w:w="140" w:type="dxa"/>
              <w:bottom w:w="100" w:type="dxa"/>
              <w:end w:w="140" w:type="dxa"/>
            </w:tcMar>
          </w:tcPr>
          <w:p>
            <w:r>
              <w:rPr>
                <w:rFonts w:ascii="Aptos" w:hAnsi="Aptos"/>
                <w:b w:val="0"/>
                <w:i w:val="0"/>
                <w:color w:val="2F292B"/>
                <w:sz w:val="18"/>
              </w:rPr>
              <w:t>The Whole Heart</w:t>
            </w:r>
          </w:p>
        </w:tc>
        <w:tc>
          <w:tcPr>
            <w:tcW w:type="dxa" w:w="4860"/>
            <w:vAlign w:val="center"/>
            <w:tcMar>
              <w:top w:w="100" w:type="dxa"/>
              <w:start w:w="140" w:type="dxa"/>
              <w:bottom w:w="100" w:type="dxa"/>
              <w:end w:w="140" w:type="dxa"/>
            </w:tcMar>
          </w:tcPr>
          <w:p>
            <w:r>
              <w:rPr>
                <w:rFonts w:ascii="Aptos" w:hAnsi="Aptos"/>
                <w:b w:val="0"/>
                <w:i w:val="0"/>
                <w:color w:val="2F292B"/>
                <w:sz w:val="18"/>
              </w:rPr>
              <w:t>Intellect, emotion, embodiment, relationship, and spirit held together.</w:t>
            </w:r>
          </w:p>
        </w:tc>
      </w:tr>
      <w:tr>
        <w:tc>
          <w:tcPr>
            <w:tcW w:type="dxa" w:w="1200"/>
            <w:vAlign w:val="center"/>
            <w:tcMar>
              <w:top w:w="100" w:type="dxa"/>
              <w:start w:w="140" w:type="dxa"/>
              <w:bottom w:w="100" w:type="dxa"/>
              <w:end w:w="140" w:type="dxa"/>
            </w:tcMar>
          </w:tcPr>
          <w:p>
            <w:r>
              <w:rPr>
                <w:rFonts w:ascii="Aptos" w:hAnsi="Aptos"/>
                <w:b w:val="0"/>
                <w:i w:val="0"/>
                <w:color w:val="2F292B"/>
                <w:sz w:val="18"/>
              </w:rPr>
              <w:t>March</w:t>
            </w:r>
          </w:p>
        </w:tc>
        <w:tc>
          <w:tcPr>
            <w:tcW w:type="dxa" w:w="3300"/>
            <w:vAlign w:val="center"/>
            <w:tcMar>
              <w:top w:w="100" w:type="dxa"/>
              <w:start w:w="140" w:type="dxa"/>
              <w:bottom w:w="100" w:type="dxa"/>
              <w:end w:w="140" w:type="dxa"/>
            </w:tcMar>
          </w:tcPr>
          <w:p>
            <w:r>
              <w:rPr>
                <w:rFonts w:ascii="Aptos" w:hAnsi="Aptos"/>
                <w:b w:val="0"/>
                <w:i w:val="0"/>
                <w:color w:val="2F292B"/>
                <w:sz w:val="18"/>
              </w:rPr>
              <w:t>Watchfulness and Wise Counsel</w:t>
            </w:r>
          </w:p>
        </w:tc>
        <w:tc>
          <w:tcPr>
            <w:tcW w:type="dxa" w:w="4860"/>
            <w:vAlign w:val="center"/>
            <w:tcMar>
              <w:top w:w="100" w:type="dxa"/>
              <w:start w:w="140" w:type="dxa"/>
              <w:bottom w:w="100" w:type="dxa"/>
              <w:end w:w="140" w:type="dxa"/>
            </w:tcMar>
          </w:tcPr>
          <w:p>
            <w:r>
              <w:rPr>
                <w:rFonts w:ascii="Aptos" w:hAnsi="Aptos"/>
                <w:b w:val="0"/>
                <w:i w:val="0"/>
                <w:color w:val="2F292B"/>
                <w:sz w:val="18"/>
              </w:rPr>
              <w:t>Discernment, restraint, timing, responsibility, and counsel.</w:t>
            </w:r>
          </w:p>
        </w:tc>
      </w:tr>
      <w:tr>
        <w:tc>
          <w:tcPr>
            <w:tcW w:type="dxa" w:w="1200"/>
            <w:vAlign w:val="center"/>
            <w:tcMar>
              <w:top w:w="100" w:type="dxa"/>
              <w:start w:w="140" w:type="dxa"/>
              <w:bottom w:w="100" w:type="dxa"/>
              <w:end w:w="140" w:type="dxa"/>
            </w:tcMar>
          </w:tcPr>
          <w:p>
            <w:r>
              <w:rPr>
                <w:rFonts w:ascii="Aptos" w:hAnsi="Aptos"/>
                <w:b w:val="0"/>
                <w:i w:val="0"/>
                <w:color w:val="2F292B"/>
                <w:sz w:val="18"/>
              </w:rPr>
              <w:t>April</w:t>
            </w:r>
          </w:p>
        </w:tc>
        <w:tc>
          <w:tcPr>
            <w:tcW w:type="dxa" w:w="3300"/>
            <w:vAlign w:val="center"/>
            <w:tcMar>
              <w:top w:w="100" w:type="dxa"/>
              <w:start w:w="140" w:type="dxa"/>
              <w:bottom w:w="100" w:type="dxa"/>
              <w:end w:w="140" w:type="dxa"/>
            </w:tcMar>
          </w:tcPr>
          <w:p>
            <w:r>
              <w:rPr>
                <w:rFonts w:ascii="Aptos" w:hAnsi="Aptos"/>
                <w:b w:val="0"/>
                <w:i w:val="0"/>
                <w:color w:val="2F292B"/>
                <w:sz w:val="18"/>
              </w:rPr>
              <w:t>Becoming Through Alignment</w:t>
            </w:r>
          </w:p>
        </w:tc>
        <w:tc>
          <w:tcPr>
            <w:tcW w:type="dxa" w:w="4860"/>
            <w:vAlign w:val="center"/>
            <w:tcMar>
              <w:top w:w="100" w:type="dxa"/>
              <w:start w:w="140" w:type="dxa"/>
              <w:bottom w:w="100" w:type="dxa"/>
              <w:end w:w="140" w:type="dxa"/>
            </w:tcMar>
          </w:tcPr>
          <w:p>
            <w:r>
              <w:rPr>
                <w:rFonts w:ascii="Aptos" w:hAnsi="Aptos"/>
                <w:b w:val="0"/>
                <w:i w:val="0"/>
                <w:color w:val="2F292B"/>
                <w:sz w:val="18"/>
              </w:rPr>
              <w:t>Values, resistance, relationship, and deliberate movement.</w:t>
            </w:r>
          </w:p>
        </w:tc>
      </w:tr>
      <w:tr>
        <w:tc>
          <w:tcPr>
            <w:tcW w:type="dxa" w:w="1200"/>
            <w:vAlign w:val="center"/>
            <w:tcMar>
              <w:top w:w="100" w:type="dxa"/>
              <w:start w:w="140" w:type="dxa"/>
              <w:bottom w:w="100" w:type="dxa"/>
              <w:end w:w="140" w:type="dxa"/>
            </w:tcMar>
          </w:tcPr>
          <w:p>
            <w:r>
              <w:rPr>
                <w:rFonts w:ascii="Aptos" w:hAnsi="Aptos"/>
                <w:b w:val="0"/>
                <w:i w:val="0"/>
                <w:color w:val="2F292B"/>
                <w:sz w:val="18"/>
              </w:rPr>
              <w:t>May</w:t>
            </w:r>
          </w:p>
        </w:tc>
        <w:tc>
          <w:tcPr>
            <w:tcW w:type="dxa" w:w="3300"/>
            <w:vAlign w:val="center"/>
            <w:tcMar>
              <w:top w:w="100" w:type="dxa"/>
              <w:start w:w="140" w:type="dxa"/>
              <w:bottom w:w="100" w:type="dxa"/>
              <w:end w:w="140" w:type="dxa"/>
            </w:tcMar>
          </w:tcPr>
          <w:p>
            <w:r>
              <w:rPr>
                <w:rFonts w:ascii="Aptos" w:hAnsi="Aptos"/>
                <w:b w:val="0"/>
                <w:i w:val="0"/>
                <w:color w:val="2F292B"/>
                <w:sz w:val="18"/>
              </w:rPr>
              <w:t>The Research Table Has No Address</w:t>
            </w:r>
          </w:p>
        </w:tc>
        <w:tc>
          <w:tcPr>
            <w:tcW w:type="dxa" w:w="4860"/>
            <w:vAlign w:val="center"/>
            <w:tcMar>
              <w:top w:w="100" w:type="dxa"/>
              <w:start w:w="140" w:type="dxa"/>
              <w:bottom w:w="100" w:type="dxa"/>
              <w:end w:w="140" w:type="dxa"/>
            </w:tcMar>
          </w:tcPr>
          <w:p>
            <w:r>
              <w:rPr>
                <w:rFonts w:ascii="Aptos" w:hAnsi="Aptos"/>
                <w:b w:val="0"/>
                <w:i w:val="0"/>
                <w:color w:val="2F292B"/>
                <w:sz w:val="18"/>
              </w:rPr>
              <w:t>Inquiry, vocation, place, collaboration, and service.</w:t>
            </w:r>
          </w:p>
        </w:tc>
      </w:tr>
      <w:tr>
        <w:tc>
          <w:tcPr>
            <w:tcW w:type="dxa" w:w="1200"/>
            <w:vAlign w:val="center"/>
            <w:tcMar>
              <w:top w:w="100" w:type="dxa"/>
              <w:start w:w="140" w:type="dxa"/>
              <w:bottom w:w="100" w:type="dxa"/>
              <w:end w:w="140" w:type="dxa"/>
            </w:tcMar>
          </w:tcPr>
          <w:p>
            <w:r>
              <w:rPr>
                <w:rFonts w:ascii="Aptos" w:hAnsi="Aptos"/>
                <w:b w:val="0"/>
                <w:i w:val="0"/>
                <w:color w:val="2F292B"/>
                <w:sz w:val="18"/>
              </w:rPr>
              <w:t>June</w:t>
            </w:r>
          </w:p>
        </w:tc>
        <w:tc>
          <w:tcPr>
            <w:tcW w:type="dxa" w:w="3300"/>
            <w:vAlign w:val="center"/>
            <w:tcMar>
              <w:top w:w="100" w:type="dxa"/>
              <w:start w:w="140" w:type="dxa"/>
              <w:bottom w:w="100" w:type="dxa"/>
              <w:end w:w="140" w:type="dxa"/>
            </w:tcMar>
          </w:tcPr>
          <w:p>
            <w:r>
              <w:rPr>
                <w:rFonts w:ascii="Aptos" w:hAnsi="Aptos"/>
                <w:b w:val="0"/>
                <w:i w:val="0"/>
                <w:color w:val="2F292B"/>
                <w:sz w:val="18"/>
              </w:rPr>
              <w:t>Prophetic Formation Immersion</w:t>
            </w:r>
          </w:p>
        </w:tc>
        <w:tc>
          <w:tcPr>
            <w:tcW w:type="dxa" w:w="4860"/>
            <w:vAlign w:val="center"/>
            <w:tcMar>
              <w:top w:w="100" w:type="dxa"/>
              <w:start w:w="140" w:type="dxa"/>
              <w:bottom w:w="100" w:type="dxa"/>
              <w:end w:w="140" w:type="dxa"/>
            </w:tcMar>
          </w:tcPr>
          <w:p>
            <w:r>
              <w:rPr>
                <w:rFonts w:ascii="Aptos" w:hAnsi="Aptos"/>
                <w:b w:val="0"/>
                <w:i w:val="0"/>
                <w:color w:val="2F292B"/>
                <w:sz w:val="18"/>
              </w:rPr>
              <w:t>Hearing, testing, maturing, and stewarding.</w:t>
            </w:r>
          </w:p>
        </w:tc>
      </w:tr>
      <w:tr>
        <w:tc>
          <w:tcPr>
            <w:tcW w:type="dxa" w:w="1200"/>
            <w:vAlign w:val="center"/>
            <w:tcMar>
              <w:top w:w="100" w:type="dxa"/>
              <w:start w:w="140" w:type="dxa"/>
              <w:bottom w:w="100" w:type="dxa"/>
              <w:end w:w="140" w:type="dxa"/>
            </w:tcMar>
          </w:tcPr>
          <w:p>
            <w:r>
              <w:rPr>
                <w:rFonts w:ascii="Aptos" w:hAnsi="Aptos"/>
                <w:b w:val="0"/>
                <w:i w:val="0"/>
                <w:color w:val="2F292B"/>
                <w:sz w:val="18"/>
              </w:rPr>
              <w:t>July</w:t>
            </w:r>
          </w:p>
        </w:tc>
        <w:tc>
          <w:tcPr>
            <w:tcW w:type="dxa" w:w="3300"/>
            <w:vAlign w:val="center"/>
            <w:tcMar>
              <w:top w:w="100" w:type="dxa"/>
              <w:start w:w="140" w:type="dxa"/>
              <w:bottom w:w="100" w:type="dxa"/>
              <w:end w:w="140" w:type="dxa"/>
            </w:tcMar>
          </w:tcPr>
          <w:p>
            <w:r>
              <w:rPr>
                <w:rFonts w:ascii="Aptos" w:hAnsi="Aptos"/>
                <w:b w:val="0"/>
                <w:i w:val="0"/>
                <w:color w:val="2F292B"/>
                <w:sz w:val="18"/>
              </w:rPr>
              <w:t>To Lead Is to Follow First</w:t>
            </w:r>
          </w:p>
        </w:tc>
        <w:tc>
          <w:tcPr>
            <w:tcW w:type="dxa" w:w="4860"/>
            <w:vAlign w:val="center"/>
            <w:tcMar>
              <w:top w:w="100" w:type="dxa"/>
              <w:start w:w="140" w:type="dxa"/>
              <w:bottom w:w="100" w:type="dxa"/>
              <w:end w:w="140" w:type="dxa"/>
            </w:tcMar>
          </w:tcPr>
          <w:p>
            <w:r>
              <w:rPr>
                <w:rFonts w:ascii="Aptos" w:hAnsi="Aptos"/>
                <w:b w:val="0"/>
                <w:i w:val="0"/>
                <w:color w:val="2F292B"/>
                <w:sz w:val="18"/>
              </w:rPr>
              <w:t>Authority formed through service, character, and accountability.</w:t>
            </w:r>
          </w:p>
        </w:tc>
      </w:tr>
      <w:tr>
        <w:tc>
          <w:tcPr>
            <w:tcW w:type="dxa" w:w="1200"/>
            <w:vAlign w:val="center"/>
            <w:tcMar>
              <w:top w:w="100" w:type="dxa"/>
              <w:start w:w="140" w:type="dxa"/>
              <w:bottom w:w="100" w:type="dxa"/>
              <w:end w:w="140" w:type="dxa"/>
            </w:tcMar>
          </w:tcPr>
          <w:p>
            <w:r>
              <w:rPr>
                <w:rFonts w:ascii="Aptos" w:hAnsi="Aptos"/>
                <w:b w:val="0"/>
                <w:i w:val="0"/>
                <w:color w:val="2F292B"/>
                <w:sz w:val="18"/>
              </w:rPr>
              <w:t>August</w:t>
            </w:r>
          </w:p>
        </w:tc>
        <w:tc>
          <w:tcPr>
            <w:tcW w:type="dxa" w:w="3300"/>
            <w:vAlign w:val="center"/>
            <w:tcMar>
              <w:top w:w="100" w:type="dxa"/>
              <w:start w:w="140" w:type="dxa"/>
              <w:bottom w:w="100" w:type="dxa"/>
              <w:end w:w="140" w:type="dxa"/>
            </w:tcMar>
          </w:tcPr>
          <w:p>
            <w:r>
              <w:rPr>
                <w:rFonts w:ascii="Aptos" w:hAnsi="Aptos"/>
                <w:b w:val="0"/>
                <w:i w:val="0"/>
                <w:color w:val="2F292B"/>
                <w:sz w:val="18"/>
              </w:rPr>
              <w:t>The Prophet Who Has Come Home</w:t>
            </w:r>
          </w:p>
        </w:tc>
        <w:tc>
          <w:tcPr>
            <w:tcW w:type="dxa" w:w="4860"/>
            <w:vAlign w:val="center"/>
            <w:tcMar>
              <w:top w:w="100" w:type="dxa"/>
              <w:start w:w="140" w:type="dxa"/>
              <w:bottom w:w="100" w:type="dxa"/>
              <w:end w:w="140" w:type="dxa"/>
            </w:tcMar>
          </w:tcPr>
          <w:p>
            <w:r>
              <w:rPr>
                <w:rFonts w:ascii="Aptos" w:hAnsi="Aptos"/>
                <w:b w:val="0"/>
                <w:i w:val="0"/>
                <w:color w:val="2F292B"/>
                <w:sz w:val="18"/>
              </w:rPr>
              <w:t>Identity, belonging, return, and integration.</w:t>
            </w:r>
          </w:p>
        </w:tc>
      </w:tr>
      <w:tr>
        <w:tc>
          <w:tcPr>
            <w:tcW w:type="dxa" w:w="1200"/>
            <w:vAlign w:val="center"/>
            <w:tcMar>
              <w:top w:w="100" w:type="dxa"/>
              <w:start w:w="140" w:type="dxa"/>
              <w:bottom w:w="100" w:type="dxa"/>
              <w:end w:w="140" w:type="dxa"/>
            </w:tcMar>
          </w:tcPr>
          <w:p>
            <w:r>
              <w:rPr>
                <w:rFonts w:ascii="Aptos" w:hAnsi="Aptos"/>
                <w:b w:val="0"/>
                <w:i w:val="0"/>
                <w:color w:val="2F292B"/>
                <w:sz w:val="18"/>
              </w:rPr>
              <w:t>September</w:t>
            </w:r>
          </w:p>
        </w:tc>
        <w:tc>
          <w:tcPr>
            <w:tcW w:type="dxa" w:w="3300"/>
            <w:vAlign w:val="center"/>
            <w:tcMar>
              <w:top w:w="100" w:type="dxa"/>
              <w:start w:w="140" w:type="dxa"/>
              <w:bottom w:w="100" w:type="dxa"/>
              <w:end w:w="140" w:type="dxa"/>
            </w:tcMar>
          </w:tcPr>
          <w:p>
            <w:r>
              <w:rPr>
                <w:rFonts w:ascii="Aptos" w:hAnsi="Aptos"/>
                <w:b w:val="0"/>
                <w:i w:val="0"/>
                <w:color w:val="2F292B"/>
                <w:sz w:val="18"/>
              </w:rPr>
              <w:t>The Small Key and the Widening Field</w:t>
            </w:r>
          </w:p>
        </w:tc>
        <w:tc>
          <w:tcPr>
            <w:tcW w:type="dxa" w:w="4860"/>
            <w:vAlign w:val="center"/>
            <w:tcMar>
              <w:top w:w="100" w:type="dxa"/>
              <w:start w:w="140" w:type="dxa"/>
              <w:bottom w:w="100" w:type="dxa"/>
              <w:end w:w="140" w:type="dxa"/>
            </w:tcMar>
          </w:tcPr>
          <w:p>
            <w:r>
              <w:rPr>
                <w:rFonts w:ascii="Aptos" w:hAnsi="Aptos"/>
                <w:b w:val="0"/>
                <w:i w:val="0"/>
                <w:color w:val="2F292B"/>
                <w:sz w:val="18"/>
              </w:rPr>
              <w:t>Small obediences, expanding consequence, and patient scale.</w:t>
            </w:r>
          </w:p>
        </w:tc>
      </w:tr>
      <w:tr>
        <w:tc>
          <w:tcPr>
            <w:tcW w:type="dxa" w:w="1200"/>
            <w:vAlign w:val="center"/>
            <w:tcMar>
              <w:top w:w="100" w:type="dxa"/>
              <w:start w:w="140" w:type="dxa"/>
              <w:bottom w:w="100" w:type="dxa"/>
              <w:end w:w="140" w:type="dxa"/>
            </w:tcMar>
          </w:tcPr>
          <w:p>
            <w:r>
              <w:rPr>
                <w:rFonts w:ascii="Aptos" w:hAnsi="Aptos"/>
                <w:b w:val="0"/>
                <w:i w:val="0"/>
                <w:color w:val="2F292B"/>
                <w:sz w:val="18"/>
              </w:rPr>
              <w:t>October</w:t>
            </w:r>
          </w:p>
        </w:tc>
        <w:tc>
          <w:tcPr>
            <w:tcW w:type="dxa" w:w="3300"/>
            <w:vAlign w:val="center"/>
            <w:tcMar>
              <w:top w:w="100" w:type="dxa"/>
              <w:start w:w="140" w:type="dxa"/>
              <w:bottom w:w="100" w:type="dxa"/>
              <w:end w:w="140" w:type="dxa"/>
            </w:tcMar>
          </w:tcPr>
          <w:p>
            <w:r>
              <w:rPr>
                <w:rFonts w:ascii="Aptos" w:hAnsi="Aptos"/>
                <w:b w:val="0"/>
                <w:i w:val="0"/>
                <w:color w:val="2F292B"/>
                <w:sz w:val="18"/>
              </w:rPr>
              <w:t>The Tender After</w:t>
            </w:r>
          </w:p>
        </w:tc>
        <w:tc>
          <w:tcPr>
            <w:tcW w:type="dxa" w:w="4860"/>
            <w:vAlign w:val="center"/>
            <w:tcMar>
              <w:top w:w="100" w:type="dxa"/>
              <w:start w:w="140" w:type="dxa"/>
              <w:bottom w:w="100" w:type="dxa"/>
              <w:end w:w="140" w:type="dxa"/>
            </w:tcMar>
          </w:tcPr>
          <w:p>
            <w:r>
              <w:rPr>
                <w:rFonts w:ascii="Aptos" w:hAnsi="Aptos"/>
                <w:b w:val="0"/>
                <w:i w:val="0"/>
                <w:color w:val="2F292B"/>
                <w:sz w:val="18"/>
              </w:rPr>
              <w:t>Grief, gentleness, repair, and redemptive possibility.</w:t>
            </w:r>
          </w:p>
        </w:tc>
      </w:tr>
      <w:tr>
        <w:tc>
          <w:tcPr>
            <w:tcW w:type="dxa" w:w="1200"/>
            <w:vAlign w:val="center"/>
            <w:tcMar>
              <w:top w:w="100" w:type="dxa"/>
              <w:start w:w="140" w:type="dxa"/>
              <w:bottom w:w="100" w:type="dxa"/>
              <w:end w:w="140" w:type="dxa"/>
            </w:tcMar>
          </w:tcPr>
          <w:p>
            <w:r>
              <w:rPr>
                <w:rFonts w:ascii="Aptos" w:hAnsi="Aptos"/>
                <w:b w:val="0"/>
                <w:i w:val="0"/>
                <w:color w:val="2F292B"/>
                <w:sz w:val="18"/>
              </w:rPr>
              <w:t>November</w:t>
            </w:r>
          </w:p>
        </w:tc>
        <w:tc>
          <w:tcPr>
            <w:tcW w:type="dxa" w:w="3300"/>
            <w:vAlign w:val="center"/>
            <w:tcMar>
              <w:top w:w="100" w:type="dxa"/>
              <w:start w:w="140" w:type="dxa"/>
              <w:bottom w:w="100" w:type="dxa"/>
              <w:end w:w="140" w:type="dxa"/>
            </w:tcMar>
          </w:tcPr>
          <w:p>
            <w:r>
              <w:rPr>
                <w:rFonts w:ascii="Aptos" w:hAnsi="Aptos"/>
                <w:b w:val="0"/>
                <w:i w:val="0"/>
                <w:color w:val="2F292B"/>
                <w:sz w:val="18"/>
              </w:rPr>
              <w:t>Form Me as You Send Me</w:t>
            </w:r>
          </w:p>
        </w:tc>
        <w:tc>
          <w:tcPr>
            <w:tcW w:type="dxa" w:w="4860"/>
            <w:vAlign w:val="center"/>
            <w:tcMar>
              <w:top w:w="100" w:type="dxa"/>
              <w:start w:w="140" w:type="dxa"/>
              <w:bottom w:w="100" w:type="dxa"/>
              <w:end w:w="140" w:type="dxa"/>
            </w:tcMar>
          </w:tcPr>
          <w:p>
            <w:r>
              <w:rPr>
                <w:rFonts w:ascii="Aptos" w:hAnsi="Aptos"/>
                <w:b w:val="0"/>
                <w:i w:val="0"/>
                <w:color w:val="2F292B"/>
                <w:sz w:val="18"/>
              </w:rPr>
              <w:t>Formation, nations, culture, responsibility, and faithful presence.</w:t>
            </w:r>
          </w:p>
        </w:tc>
      </w:tr>
      <w:tr>
        <w:tc>
          <w:tcPr>
            <w:tcW w:type="dxa" w:w="1200"/>
            <w:vAlign w:val="center"/>
            <w:tcMar>
              <w:top w:w="100" w:type="dxa"/>
              <w:start w:w="140" w:type="dxa"/>
              <w:bottom w:w="100" w:type="dxa"/>
              <w:end w:w="140" w:type="dxa"/>
            </w:tcMar>
          </w:tcPr>
          <w:p>
            <w:r>
              <w:rPr>
                <w:rFonts w:ascii="Aptos" w:hAnsi="Aptos"/>
                <w:b w:val="0"/>
                <w:i w:val="0"/>
                <w:color w:val="2F292B"/>
                <w:sz w:val="18"/>
              </w:rPr>
              <w:t>December</w:t>
            </w:r>
          </w:p>
        </w:tc>
        <w:tc>
          <w:tcPr>
            <w:tcW w:type="dxa" w:w="3300"/>
            <w:vAlign w:val="center"/>
            <w:tcMar>
              <w:top w:w="100" w:type="dxa"/>
              <w:start w:w="140" w:type="dxa"/>
              <w:bottom w:w="100" w:type="dxa"/>
              <w:end w:w="140" w:type="dxa"/>
            </w:tcMar>
          </w:tcPr>
          <w:p>
            <w:r>
              <w:rPr>
                <w:rFonts w:ascii="Aptos" w:hAnsi="Aptos"/>
                <w:b w:val="0"/>
                <w:i w:val="0"/>
                <w:color w:val="2F292B"/>
                <w:sz w:val="18"/>
              </w:rPr>
              <w:t>A Year in Convergence</w:t>
            </w:r>
          </w:p>
        </w:tc>
        <w:tc>
          <w:tcPr>
            <w:tcW w:type="dxa" w:w="4860"/>
            <w:vAlign w:val="center"/>
            <w:tcMar>
              <w:top w:w="100" w:type="dxa"/>
              <w:start w:w="140" w:type="dxa"/>
              <w:bottom w:w="100" w:type="dxa"/>
              <w:end w:w="140" w:type="dxa"/>
            </w:tcMar>
          </w:tcPr>
          <w:p>
            <w:r>
              <w:rPr>
                <w:rFonts w:ascii="Aptos" w:hAnsi="Aptos"/>
                <w:b w:val="0"/>
                <w:i w:val="0"/>
                <w:color w:val="2F292B"/>
                <w:sz w:val="18"/>
              </w:rPr>
              <w:t>Review, testimony, evidence, discernment, gratitude, and next steps.</w:t>
            </w:r>
          </w:p>
        </w:tc>
      </w:tr>
    </w:tbl>
    <w:p/>
    <w:p>
      <w:pPr>
        <w:pStyle w:val="Heading2"/>
      </w:pPr>
      <w:r>
        <w:t>Monthly release rhythm</w:t>
      </w:r>
    </w:p>
    <w:tbl>
      <w:tblPr>
        <w:tblStyle w:val="TableGrid"/>
        <w:tblW w:type="dxa" w:w="9360"/>
        <w:jc w:val="center"/>
        <w:tblLayout w:type="fixed"/>
        <w:tblLook w:firstColumn="1" w:firstRow="1" w:lastColumn="0" w:lastRow="0" w:noHBand="0" w:noVBand="1" w:val="04A0"/>
        <w:tblInd w:w="140" w:type="dxa"/>
      </w:tblPr>
      <w:tblGrid>
        <w:gridCol w:w="1350"/>
        <w:gridCol w:w="3660"/>
        <w:gridCol w:w="4350"/>
      </w:tblGrid>
      <w:tr>
        <w:trPr>
          <w:tblHeader w:val="true"/>
        </w:trPr>
        <w:tc>
          <w:tcPr>
            <w:tcW w:type="dxa" w:w="1350"/>
            <w:tcMar>
              <w:top w:w="100" w:type="dxa"/>
              <w:start w:w="140" w:type="dxa"/>
              <w:bottom w:w="100" w:type="dxa"/>
              <w:end w:w="140" w:type="dxa"/>
            </w:tcMar>
            <w:shd w:fill="762631"/>
            <w:vAlign w:val="center"/>
          </w:tcPr>
          <w:p>
            <w:r>
              <w:rPr>
                <w:rFonts w:ascii="Aptos" w:hAnsi="Aptos"/>
                <w:b/>
                <w:i w:val="0"/>
                <w:color w:val="FFFFFF"/>
                <w:sz w:val="18"/>
              </w:rPr>
              <w:t>Week</w:t>
            </w:r>
          </w:p>
        </w:tc>
        <w:tc>
          <w:tcPr>
            <w:tcW w:type="dxa" w:w="3660"/>
            <w:tcMar>
              <w:top w:w="100" w:type="dxa"/>
              <w:start w:w="140" w:type="dxa"/>
              <w:bottom w:w="100" w:type="dxa"/>
              <w:end w:w="140" w:type="dxa"/>
            </w:tcMar>
            <w:shd w:fill="762631"/>
            <w:vAlign w:val="center"/>
          </w:tcPr>
          <w:p>
            <w:r>
              <w:rPr>
                <w:rFonts w:ascii="Aptos" w:hAnsi="Aptos"/>
                <w:b/>
                <w:i w:val="0"/>
                <w:color w:val="FFFFFF"/>
                <w:sz w:val="18"/>
              </w:rPr>
              <w:t>Release</w:t>
            </w:r>
          </w:p>
        </w:tc>
        <w:tc>
          <w:tcPr>
            <w:tcW w:type="dxa" w:w="4350"/>
            <w:tcMar>
              <w:top w:w="100" w:type="dxa"/>
              <w:start w:w="140" w:type="dxa"/>
              <w:bottom w:w="100" w:type="dxa"/>
              <w:end w:w="140" w:type="dxa"/>
            </w:tcMar>
            <w:shd w:fill="762631"/>
            <w:vAlign w:val="center"/>
          </w:tcPr>
          <w:p>
            <w:r>
              <w:rPr>
                <w:rFonts w:ascii="Aptos" w:hAnsi="Aptos"/>
                <w:b/>
                <w:i w:val="0"/>
                <w:color w:val="FFFFFF"/>
                <w:sz w:val="18"/>
              </w:rPr>
              <w:t>Community movement</w:t>
            </w:r>
          </w:p>
        </w:tc>
      </w:tr>
      <w:tr>
        <w:tc>
          <w:tcPr>
            <w:tcW w:type="dxa" w:w="1350"/>
            <w:vAlign w:val="center"/>
            <w:tcMar>
              <w:top w:w="100" w:type="dxa"/>
              <w:start w:w="140" w:type="dxa"/>
              <w:bottom w:w="100" w:type="dxa"/>
              <w:end w:w="140" w:type="dxa"/>
            </w:tcMar>
          </w:tcPr>
          <w:p>
            <w:r>
              <w:rPr>
                <w:rFonts w:ascii="Aptos" w:hAnsi="Aptos"/>
                <w:b w:val="0"/>
                <w:i w:val="0"/>
                <w:color w:val="2F292B"/>
                <w:sz w:val="18"/>
              </w:rPr>
              <w:t>Week 1</w:t>
            </w:r>
          </w:p>
        </w:tc>
        <w:tc>
          <w:tcPr>
            <w:tcW w:type="dxa" w:w="3660"/>
            <w:vAlign w:val="center"/>
            <w:tcMar>
              <w:top w:w="100" w:type="dxa"/>
              <w:start w:w="140" w:type="dxa"/>
              <w:bottom w:w="100" w:type="dxa"/>
              <w:end w:w="140" w:type="dxa"/>
            </w:tcMar>
          </w:tcPr>
          <w:p>
            <w:r>
              <w:rPr>
                <w:rFonts w:ascii="Aptos" w:hAnsi="Aptos"/>
                <w:b w:val="0"/>
                <w:i w:val="0"/>
                <w:color w:val="2F292B"/>
                <w:sz w:val="18"/>
              </w:rPr>
              <w:t>Founder letter, e-book or guided audio, quick-start card</w:t>
            </w:r>
          </w:p>
        </w:tc>
        <w:tc>
          <w:tcPr>
            <w:tcW w:type="dxa" w:w="4350"/>
            <w:vAlign w:val="center"/>
            <w:tcMar>
              <w:top w:w="100" w:type="dxa"/>
              <w:start w:w="140" w:type="dxa"/>
              <w:bottom w:w="100" w:type="dxa"/>
              <w:end w:w="140" w:type="dxa"/>
            </w:tcMar>
          </w:tcPr>
          <w:p>
            <w:r>
              <w:rPr>
                <w:rFonts w:ascii="Aptos" w:hAnsi="Aptos"/>
                <w:b w:val="0"/>
                <w:i w:val="0"/>
                <w:color w:val="2F292B"/>
                <w:sz w:val="18"/>
              </w:rPr>
              <w:t>Arrive and name the present question</w:t>
            </w:r>
          </w:p>
        </w:tc>
      </w:tr>
      <w:tr>
        <w:tc>
          <w:tcPr>
            <w:tcW w:type="dxa" w:w="1350"/>
            <w:vAlign w:val="center"/>
            <w:tcMar>
              <w:top w:w="100" w:type="dxa"/>
              <w:start w:w="140" w:type="dxa"/>
              <w:bottom w:w="100" w:type="dxa"/>
              <w:end w:w="140" w:type="dxa"/>
            </w:tcMar>
          </w:tcPr>
          <w:p>
            <w:r>
              <w:rPr>
                <w:rFonts w:ascii="Aptos" w:hAnsi="Aptos"/>
                <w:b w:val="0"/>
                <w:i w:val="0"/>
                <w:color w:val="2F292B"/>
                <w:sz w:val="18"/>
              </w:rPr>
              <w:t>Week 2</w:t>
            </w:r>
          </w:p>
        </w:tc>
        <w:tc>
          <w:tcPr>
            <w:tcW w:type="dxa" w:w="3660"/>
            <w:vAlign w:val="center"/>
            <w:tcMar>
              <w:top w:w="100" w:type="dxa"/>
              <w:start w:w="140" w:type="dxa"/>
              <w:bottom w:w="100" w:type="dxa"/>
              <w:end w:w="140" w:type="dxa"/>
            </w:tcMar>
          </w:tcPr>
          <w:p>
            <w:r>
              <w:rPr>
                <w:rFonts w:ascii="Aptos" w:hAnsi="Aptos"/>
                <w:b w:val="0"/>
                <w:i w:val="0"/>
                <w:color w:val="2F292B"/>
                <w:sz w:val="18"/>
              </w:rPr>
              <w:t>Companion practice and short video</w:t>
            </w:r>
          </w:p>
        </w:tc>
        <w:tc>
          <w:tcPr>
            <w:tcW w:type="dxa" w:w="4350"/>
            <w:vAlign w:val="center"/>
            <w:tcMar>
              <w:top w:w="100" w:type="dxa"/>
              <w:start w:w="140" w:type="dxa"/>
              <w:bottom w:w="100" w:type="dxa"/>
              <w:end w:w="140" w:type="dxa"/>
            </w:tcMar>
          </w:tcPr>
          <w:p>
            <w:r>
              <w:rPr>
                <w:rFonts w:ascii="Aptos" w:hAnsi="Aptos"/>
                <w:b w:val="0"/>
                <w:i w:val="0"/>
                <w:color w:val="2F292B"/>
                <w:sz w:val="18"/>
              </w:rPr>
              <w:t>Recognize and reflect privately</w:t>
            </w:r>
          </w:p>
        </w:tc>
      </w:tr>
      <w:tr>
        <w:tc>
          <w:tcPr>
            <w:tcW w:type="dxa" w:w="1350"/>
            <w:vAlign w:val="center"/>
            <w:tcMar>
              <w:top w:w="100" w:type="dxa"/>
              <w:start w:w="140" w:type="dxa"/>
              <w:bottom w:w="100" w:type="dxa"/>
              <w:end w:w="140" w:type="dxa"/>
            </w:tcMar>
          </w:tcPr>
          <w:p>
            <w:r>
              <w:rPr>
                <w:rFonts w:ascii="Aptos" w:hAnsi="Aptos"/>
                <w:b w:val="0"/>
                <w:i w:val="0"/>
                <w:color w:val="2F292B"/>
                <w:sz w:val="18"/>
              </w:rPr>
              <w:t>Week 3</w:t>
            </w:r>
          </w:p>
        </w:tc>
        <w:tc>
          <w:tcPr>
            <w:tcW w:type="dxa" w:w="3660"/>
            <w:vAlign w:val="center"/>
            <w:tcMar>
              <w:top w:w="100" w:type="dxa"/>
              <w:start w:w="140" w:type="dxa"/>
              <w:bottom w:w="100" w:type="dxa"/>
              <w:end w:w="140" w:type="dxa"/>
            </w:tcMar>
          </w:tcPr>
          <w:p>
            <w:r>
              <w:rPr>
                <w:rFonts w:ascii="Aptos" w:hAnsi="Aptos"/>
                <w:b w:val="0"/>
                <w:i w:val="0"/>
                <w:color w:val="2F292B"/>
                <w:sz w:val="18"/>
              </w:rPr>
              <w:t>Facilitated circle or asynchronous discussion</w:t>
            </w:r>
          </w:p>
        </w:tc>
        <w:tc>
          <w:tcPr>
            <w:tcW w:type="dxa" w:w="4350"/>
            <w:vAlign w:val="center"/>
            <w:tcMar>
              <w:top w:w="100" w:type="dxa"/>
              <w:start w:w="140" w:type="dxa"/>
              <w:bottom w:w="100" w:type="dxa"/>
              <w:end w:w="140" w:type="dxa"/>
            </w:tcMar>
          </w:tcPr>
          <w:p>
            <w:r>
              <w:rPr>
                <w:rFonts w:ascii="Aptos" w:hAnsi="Aptos"/>
                <w:b w:val="0"/>
                <w:i w:val="0"/>
                <w:color w:val="2F292B"/>
                <w:sz w:val="18"/>
              </w:rPr>
              <w:t>Discern with context, counsel, and generous boundaries</w:t>
            </w:r>
          </w:p>
        </w:tc>
      </w:tr>
      <w:tr>
        <w:tc>
          <w:tcPr>
            <w:tcW w:type="dxa" w:w="1350"/>
            <w:vAlign w:val="center"/>
            <w:tcMar>
              <w:top w:w="100" w:type="dxa"/>
              <w:start w:w="140" w:type="dxa"/>
              <w:bottom w:w="100" w:type="dxa"/>
              <w:end w:w="140" w:type="dxa"/>
            </w:tcMar>
          </w:tcPr>
          <w:p>
            <w:r>
              <w:rPr>
                <w:rFonts w:ascii="Aptos" w:hAnsi="Aptos"/>
                <w:b w:val="0"/>
                <w:i w:val="0"/>
                <w:color w:val="2F292B"/>
                <w:sz w:val="18"/>
              </w:rPr>
              <w:t>Week 4</w:t>
            </w:r>
          </w:p>
        </w:tc>
        <w:tc>
          <w:tcPr>
            <w:tcW w:type="dxa" w:w="3660"/>
            <w:vAlign w:val="center"/>
            <w:tcMar>
              <w:top w:w="100" w:type="dxa"/>
              <w:start w:w="140" w:type="dxa"/>
              <w:bottom w:w="100" w:type="dxa"/>
              <w:end w:w="140" w:type="dxa"/>
            </w:tcMar>
          </w:tcPr>
          <w:p>
            <w:r>
              <w:rPr>
                <w:rFonts w:ascii="Aptos" w:hAnsi="Aptos"/>
                <w:b w:val="0"/>
                <w:i w:val="0"/>
                <w:color w:val="2F292B"/>
                <w:sz w:val="18"/>
              </w:rPr>
              <w:t>Closing audio, next-action review, testimony invitation</w:t>
            </w:r>
          </w:p>
        </w:tc>
        <w:tc>
          <w:tcPr>
            <w:tcW w:type="dxa" w:w="4350"/>
            <w:vAlign w:val="center"/>
            <w:tcMar>
              <w:top w:w="100" w:type="dxa"/>
              <w:start w:w="140" w:type="dxa"/>
              <w:bottom w:w="100" w:type="dxa"/>
              <w:end w:w="140" w:type="dxa"/>
            </w:tcMar>
          </w:tcPr>
          <w:p>
            <w:r>
              <w:rPr>
                <w:rFonts w:ascii="Aptos" w:hAnsi="Aptos"/>
                <w:b w:val="0"/>
                <w:i w:val="0"/>
                <w:color w:val="2F292B"/>
                <w:sz w:val="18"/>
              </w:rPr>
              <w:t>Respond, review fruit, and continue without pressure</w:t>
            </w:r>
          </w:p>
        </w:tc>
      </w:tr>
    </w:tbl>
    <w:p/>
    <w:p>
      <w:pPr>
        <w:pStyle w:val="Heading2"/>
      </w:pPr>
      <w:r>
        <w:t>Continuity ladder</w:t>
      </w:r>
    </w:p>
    <w:p>
      <w:pPr>
        <w:pStyle w:val="ListBullet"/>
      </w:pPr>
      <w:r>
        <w:rPr>
          <w:rFonts w:ascii="Aptos" w:hAnsi="Aptos"/>
          <w:b w:val="0"/>
          <w:i w:val="0"/>
          <w:color w:val="2F292B"/>
          <w:sz w:val="21"/>
        </w:rPr>
        <w:t>Public excerpt → complete bundle → member reflection → facilitated circle → course or cohort → retreat or premium collection.</w:t>
      </w:r>
    </w:p>
    <w:p>
      <w:pPr>
        <w:pStyle w:val="ListBullet"/>
      </w:pPr>
      <w:r>
        <w:rPr>
          <w:rFonts w:ascii="Aptos" w:hAnsi="Aptos"/>
          <w:b w:val="0"/>
          <w:i w:val="0"/>
          <w:color w:val="2F292B"/>
          <w:sz w:val="21"/>
        </w:rPr>
        <w:t>Every transition must explain the benefit, time commitment, price or access requirement, privacy implications, and whether participation is educational, spiritual, professional, clinical, or commercial.</w:t>
      </w:r>
    </w:p>
    <w:p>
      <w:pPr>
        <w:pStyle w:val="ListBullet"/>
      </w:pPr>
      <w:r>
        <w:rPr>
          <w:rFonts w:ascii="Aptos" w:hAnsi="Aptos"/>
          <w:b w:val="0"/>
          <w:i w:val="0"/>
          <w:color w:val="2F292B"/>
          <w:sz w:val="21"/>
        </w:rPr>
        <w:t>A reader may remain at the open-access or monthly-book level indefinitely. Deeper invitations must not diminish the value of the current level.</w:t>
      </w:r>
    </w:p>
    <w:p>
      <w:pPr>
        <w:pStyle w:val="Heading1"/>
      </w:pPr>
      <w:r>
        <w:t>7. Production, rights, and release workflow</w:t>
      </w:r>
    </w:p>
    <w:tbl>
      <w:tblPr>
        <w:tblStyle w:val="TableGrid"/>
        <w:tblW w:type="dxa" w:w="9360"/>
        <w:jc w:val="center"/>
        <w:tblLayout w:type="fixed"/>
        <w:tblLook w:firstColumn="1" w:firstRow="1" w:lastColumn="0" w:lastRow="0" w:noHBand="0" w:noVBand="1" w:val="04A0"/>
        <w:tblInd w:w="140" w:type="dxa"/>
      </w:tblPr>
      <w:tblGrid>
        <w:gridCol w:w="1800"/>
        <w:gridCol w:w="4050"/>
        <w:gridCol w:w="3510"/>
      </w:tblGrid>
      <w:tr>
        <w:trPr>
          <w:tblHeader w:val="true"/>
        </w:trPr>
        <w:tc>
          <w:tcPr>
            <w:tcW w:type="dxa" w:w="1800"/>
            <w:tcMar>
              <w:top w:w="100" w:type="dxa"/>
              <w:start w:w="140" w:type="dxa"/>
              <w:bottom w:w="100" w:type="dxa"/>
              <w:end w:w="140" w:type="dxa"/>
            </w:tcMar>
            <w:shd w:fill="762631"/>
            <w:vAlign w:val="center"/>
          </w:tcPr>
          <w:p>
            <w:r>
              <w:rPr>
                <w:rFonts w:ascii="Aptos" w:hAnsi="Aptos"/>
                <w:b/>
                <w:i w:val="0"/>
                <w:color w:val="FFFFFF"/>
                <w:sz w:val="18"/>
              </w:rPr>
              <w:t>Stage</w:t>
            </w:r>
          </w:p>
        </w:tc>
        <w:tc>
          <w:tcPr>
            <w:tcW w:type="dxa" w:w="4050"/>
            <w:tcMar>
              <w:top w:w="100" w:type="dxa"/>
              <w:start w:w="140" w:type="dxa"/>
              <w:bottom w:w="100" w:type="dxa"/>
              <w:end w:w="140" w:type="dxa"/>
            </w:tcMar>
            <w:shd w:fill="762631"/>
            <w:vAlign w:val="center"/>
          </w:tcPr>
          <w:p>
            <w:r>
              <w:rPr>
                <w:rFonts w:ascii="Aptos" w:hAnsi="Aptos"/>
                <w:b/>
                <w:i w:val="0"/>
                <w:color w:val="FFFFFF"/>
                <w:sz w:val="18"/>
              </w:rPr>
              <w:t>Owner decision</w:t>
            </w:r>
          </w:p>
        </w:tc>
        <w:tc>
          <w:tcPr>
            <w:tcW w:type="dxa" w:w="3510"/>
            <w:tcMar>
              <w:top w:w="100" w:type="dxa"/>
              <w:start w:w="140" w:type="dxa"/>
              <w:bottom w:w="100" w:type="dxa"/>
              <w:end w:w="140" w:type="dxa"/>
            </w:tcMar>
            <w:shd w:fill="762631"/>
            <w:vAlign w:val="center"/>
          </w:tcPr>
          <w:p>
            <w:r>
              <w:rPr>
                <w:rFonts w:ascii="Aptos" w:hAnsi="Aptos"/>
                <w:b/>
                <w:i w:val="0"/>
                <w:color w:val="FFFFFF"/>
                <w:sz w:val="18"/>
              </w:rPr>
              <w:t>Required evidence</w:t>
            </w:r>
          </w:p>
        </w:tc>
      </w:tr>
      <w:tr>
        <w:tc>
          <w:tcPr>
            <w:tcW w:type="dxa" w:w="1800"/>
            <w:vAlign w:val="center"/>
            <w:tcMar>
              <w:top w:w="100" w:type="dxa"/>
              <w:start w:w="140" w:type="dxa"/>
              <w:bottom w:w="100" w:type="dxa"/>
              <w:end w:w="140" w:type="dxa"/>
            </w:tcMar>
          </w:tcPr>
          <w:p>
            <w:r>
              <w:rPr>
                <w:rFonts w:ascii="Aptos" w:hAnsi="Aptos"/>
                <w:b w:val="0"/>
                <w:i w:val="0"/>
                <w:color w:val="2F292B"/>
                <w:sz w:val="18"/>
              </w:rPr>
              <w:t>Editorial lock</w:t>
            </w:r>
          </w:p>
        </w:tc>
        <w:tc>
          <w:tcPr>
            <w:tcW w:type="dxa" w:w="4050"/>
            <w:vAlign w:val="center"/>
            <w:tcMar>
              <w:top w:w="100" w:type="dxa"/>
              <w:start w:w="140" w:type="dxa"/>
              <w:bottom w:w="100" w:type="dxa"/>
              <w:end w:w="140" w:type="dxa"/>
            </w:tcMar>
          </w:tcPr>
          <w:p>
            <w:r>
              <w:rPr>
                <w:rFonts w:ascii="Aptos" w:hAnsi="Aptos"/>
                <w:b w:val="0"/>
                <w:i w:val="0"/>
                <w:color w:val="2F292B"/>
                <w:sz w:val="18"/>
              </w:rPr>
              <w:t>Text, Scriptures, sources, testimony permissions, distinctions</w:t>
            </w:r>
          </w:p>
        </w:tc>
        <w:tc>
          <w:tcPr>
            <w:tcW w:type="dxa" w:w="3510"/>
            <w:vAlign w:val="center"/>
            <w:tcMar>
              <w:top w:w="100" w:type="dxa"/>
              <w:start w:w="140" w:type="dxa"/>
              <w:bottom w:w="100" w:type="dxa"/>
              <w:end w:w="140" w:type="dxa"/>
            </w:tcMar>
          </w:tcPr>
          <w:p>
            <w:r>
              <w:rPr>
                <w:rFonts w:ascii="Aptos" w:hAnsi="Aptos"/>
                <w:b w:val="0"/>
                <w:i w:val="0"/>
                <w:color w:val="2F292B"/>
                <w:sz w:val="18"/>
              </w:rPr>
              <w:t>Approved manuscript and source record</w:t>
            </w:r>
          </w:p>
        </w:tc>
      </w:tr>
      <w:tr>
        <w:tc>
          <w:tcPr>
            <w:tcW w:type="dxa" w:w="1800"/>
            <w:vAlign w:val="center"/>
            <w:tcMar>
              <w:top w:w="100" w:type="dxa"/>
              <w:start w:w="140" w:type="dxa"/>
              <w:bottom w:w="100" w:type="dxa"/>
              <w:end w:w="140" w:type="dxa"/>
            </w:tcMar>
          </w:tcPr>
          <w:p>
            <w:r>
              <w:rPr>
                <w:rFonts w:ascii="Aptos" w:hAnsi="Aptos"/>
                <w:b w:val="0"/>
                <w:i w:val="0"/>
                <w:color w:val="2F292B"/>
                <w:sz w:val="18"/>
              </w:rPr>
              <w:t>Audio preparation</w:t>
            </w:r>
          </w:p>
        </w:tc>
        <w:tc>
          <w:tcPr>
            <w:tcW w:type="dxa" w:w="4050"/>
            <w:vAlign w:val="center"/>
            <w:tcMar>
              <w:top w:w="100" w:type="dxa"/>
              <w:start w:w="140" w:type="dxa"/>
              <w:bottom w:w="100" w:type="dxa"/>
              <w:end w:w="140" w:type="dxa"/>
            </w:tcMar>
          </w:tcPr>
          <w:p>
            <w:r>
              <w:rPr>
                <w:rFonts w:ascii="Aptos" w:hAnsi="Aptos"/>
                <w:b w:val="0"/>
                <w:i w:val="0"/>
                <w:color w:val="2F292B"/>
                <w:sz w:val="18"/>
              </w:rPr>
              <w:t>Pronunciations, pacing, breaths, pauses, music, chapter boundaries</w:t>
            </w:r>
          </w:p>
        </w:tc>
        <w:tc>
          <w:tcPr>
            <w:tcW w:type="dxa" w:w="3510"/>
            <w:vAlign w:val="center"/>
            <w:tcMar>
              <w:top w:w="100" w:type="dxa"/>
              <w:start w:w="140" w:type="dxa"/>
              <w:bottom w:w="100" w:type="dxa"/>
              <w:end w:w="140" w:type="dxa"/>
            </w:tcMar>
          </w:tcPr>
          <w:p>
            <w:r>
              <w:rPr>
                <w:rFonts w:ascii="Aptos" w:hAnsi="Aptos"/>
                <w:b w:val="0"/>
                <w:i w:val="0"/>
                <w:color w:val="2F292B"/>
                <w:sz w:val="18"/>
              </w:rPr>
              <w:t>Marked narration script</w:t>
            </w:r>
          </w:p>
        </w:tc>
      </w:tr>
      <w:tr>
        <w:tc>
          <w:tcPr>
            <w:tcW w:type="dxa" w:w="1800"/>
            <w:vAlign w:val="center"/>
            <w:tcMar>
              <w:top w:w="100" w:type="dxa"/>
              <w:start w:w="140" w:type="dxa"/>
              <w:bottom w:w="100" w:type="dxa"/>
              <w:end w:w="140" w:type="dxa"/>
            </w:tcMar>
          </w:tcPr>
          <w:p>
            <w:r>
              <w:rPr>
                <w:rFonts w:ascii="Aptos" w:hAnsi="Aptos"/>
                <w:b w:val="0"/>
                <w:i w:val="0"/>
                <w:color w:val="2F292B"/>
                <w:sz w:val="18"/>
              </w:rPr>
              <w:t>Recording</w:t>
            </w:r>
          </w:p>
        </w:tc>
        <w:tc>
          <w:tcPr>
            <w:tcW w:type="dxa" w:w="4050"/>
            <w:vAlign w:val="center"/>
            <w:tcMar>
              <w:top w:w="100" w:type="dxa"/>
              <w:start w:w="140" w:type="dxa"/>
              <w:bottom w:w="100" w:type="dxa"/>
              <w:end w:w="140" w:type="dxa"/>
            </w:tcMar>
          </w:tcPr>
          <w:p>
            <w:r>
              <w:rPr>
                <w:rFonts w:ascii="Aptos" w:hAnsi="Aptos"/>
                <w:b w:val="0"/>
                <w:i w:val="0"/>
                <w:color w:val="2F292B"/>
                <w:sz w:val="18"/>
              </w:rPr>
              <w:t>Room, microphone, levels, file naming, backups, retake method</w:t>
            </w:r>
          </w:p>
        </w:tc>
        <w:tc>
          <w:tcPr>
            <w:tcW w:type="dxa" w:w="3510"/>
            <w:vAlign w:val="center"/>
            <w:tcMar>
              <w:top w:w="100" w:type="dxa"/>
              <w:start w:w="140" w:type="dxa"/>
              <w:bottom w:w="100" w:type="dxa"/>
              <w:end w:w="140" w:type="dxa"/>
            </w:tcMar>
          </w:tcPr>
          <w:p>
            <w:r>
              <w:rPr>
                <w:rFonts w:ascii="Aptos" w:hAnsi="Aptos"/>
                <w:b w:val="0"/>
                <w:i w:val="0"/>
                <w:color w:val="2F292B"/>
                <w:sz w:val="18"/>
              </w:rPr>
              <w:t>Unprocessed masters and session log</w:t>
            </w:r>
          </w:p>
        </w:tc>
      </w:tr>
      <w:tr>
        <w:tc>
          <w:tcPr>
            <w:tcW w:type="dxa" w:w="1800"/>
            <w:vAlign w:val="center"/>
            <w:tcMar>
              <w:top w:w="100" w:type="dxa"/>
              <w:start w:w="140" w:type="dxa"/>
              <w:bottom w:w="100" w:type="dxa"/>
              <w:end w:w="140" w:type="dxa"/>
            </w:tcMar>
          </w:tcPr>
          <w:p>
            <w:r>
              <w:rPr>
                <w:rFonts w:ascii="Aptos" w:hAnsi="Aptos"/>
                <w:b w:val="0"/>
                <w:i w:val="0"/>
                <w:color w:val="2F292B"/>
                <w:sz w:val="18"/>
              </w:rPr>
              <w:t>Post-production</w:t>
            </w:r>
          </w:p>
        </w:tc>
        <w:tc>
          <w:tcPr>
            <w:tcW w:type="dxa" w:w="4050"/>
            <w:vAlign w:val="center"/>
            <w:tcMar>
              <w:top w:w="100" w:type="dxa"/>
              <w:start w:w="140" w:type="dxa"/>
              <w:bottom w:w="100" w:type="dxa"/>
              <w:end w:w="140" w:type="dxa"/>
            </w:tcMar>
          </w:tcPr>
          <w:p>
            <w:r>
              <w:rPr>
                <w:rFonts w:ascii="Aptos" w:hAnsi="Aptos"/>
                <w:b w:val="0"/>
                <w:i w:val="0"/>
                <w:color w:val="2F292B"/>
                <w:sz w:val="18"/>
              </w:rPr>
              <w:t>Edit, noise treatment, loudness, metadata, transcript sync</w:t>
            </w:r>
          </w:p>
        </w:tc>
        <w:tc>
          <w:tcPr>
            <w:tcW w:type="dxa" w:w="3510"/>
            <w:vAlign w:val="center"/>
            <w:tcMar>
              <w:top w:w="100" w:type="dxa"/>
              <w:start w:w="140" w:type="dxa"/>
              <w:bottom w:w="100" w:type="dxa"/>
              <w:end w:w="140" w:type="dxa"/>
            </w:tcMar>
          </w:tcPr>
          <w:p>
            <w:r>
              <w:rPr>
                <w:rFonts w:ascii="Aptos" w:hAnsi="Aptos"/>
                <w:b w:val="0"/>
                <w:i w:val="0"/>
                <w:color w:val="2F292B"/>
                <w:sz w:val="18"/>
              </w:rPr>
              <w:t>Edited masters and QC report</w:t>
            </w:r>
          </w:p>
        </w:tc>
      </w:tr>
      <w:tr>
        <w:tc>
          <w:tcPr>
            <w:tcW w:type="dxa" w:w="1800"/>
            <w:vAlign w:val="center"/>
            <w:tcMar>
              <w:top w:w="100" w:type="dxa"/>
              <w:start w:w="140" w:type="dxa"/>
              <w:bottom w:w="100" w:type="dxa"/>
              <w:end w:w="140" w:type="dxa"/>
            </w:tcMar>
          </w:tcPr>
          <w:p>
            <w:r>
              <w:rPr>
                <w:rFonts w:ascii="Aptos" w:hAnsi="Aptos"/>
                <w:b w:val="0"/>
                <w:i w:val="0"/>
                <w:color w:val="2F292B"/>
                <w:sz w:val="18"/>
              </w:rPr>
              <w:t>Companion</w:t>
            </w:r>
          </w:p>
        </w:tc>
        <w:tc>
          <w:tcPr>
            <w:tcW w:type="dxa" w:w="4050"/>
            <w:vAlign w:val="center"/>
            <w:tcMar>
              <w:top w:w="100" w:type="dxa"/>
              <w:start w:w="140" w:type="dxa"/>
              <w:bottom w:w="100" w:type="dxa"/>
              <w:end w:w="140" w:type="dxa"/>
            </w:tcMar>
          </w:tcPr>
          <w:p>
            <w:r>
              <w:rPr>
                <w:rFonts w:ascii="Aptos" w:hAnsi="Aptos"/>
                <w:b w:val="0"/>
                <w:i w:val="0"/>
                <w:color w:val="2F292B"/>
                <w:sz w:val="18"/>
              </w:rPr>
              <w:t>Prompts, exercises, prayer, writing space, next actions</w:t>
            </w:r>
          </w:p>
        </w:tc>
        <w:tc>
          <w:tcPr>
            <w:tcW w:type="dxa" w:w="3510"/>
            <w:vAlign w:val="center"/>
            <w:tcMar>
              <w:top w:w="100" w:type="dxa"/>
              <w:start w:w="140" w:type="dxa"/>
              <w:bottom w:w="100" w:type="dxa"/>
              <w:end w:w="140" w:type="dxa"/>
            </w:tcMar>
          </w:tcPr>
          <w:p>
            <w:r>
              <w:rPr>
                <w:rFonts w:ascii="Aptos" w:hAnsi="Aptos"/>
                <w:b w:val="0"/>
                <w:i w:val="0"/>
                <w:color w:val="2F292B"/>
                <w:sz w:val="18"/>
              </w:rPr>
              <w:t>Editable master and verified PDF</w:t>
            </w:r>
          </w:p>
        </w:tc>
      </w:tr>
      <w:tr>
        <w:tc>
          <w:tcPr>
            <w:tcW w:type="dxa" w:w="1800"/>
            <w:vAlign w:val="center"/>
            <w:tcMar>
              <w:top w:w="100" w:type="dxa"/>
              <w:start w:w="140" w:type="dxa"/>
              <w:bottom w:w="100" w:type="dxa"/>
              <w:end w:w="140" w:type="dxa"/>
            </w:tcMar>
          </w:tcPr>
          <w:p>
            <w:r>
              <w:rPr>
                <w:rFonts w:ascii="Aptos" w:hAnsi="Aptos"/>
                <w:b w:val="0"/>
                <w:i w:val="0"/>
                <w:color w:val="2F292B"/>
                <w:sz w:val="18"/>
              </w:rPr>
              <w:t>Distribution</w:t>
            </w:r>
          </w:p>
        </w:tc>
        <w:tc>
          <w:tcPr>
            <w:tcW w:type="dxa" w:w="4050"/>
            <w:vAlign w:val="center"/>
            <w:tcMar>
              <w:top w:w="100" w:type="dxa"/>
              <w:start w:w="140" w:type="dxa"/>
              <w:bottom w:w="100" w:type="dxa"/>
              <w:end w:w="140" w:type="dxa"/>
            </w:tcMar>
          </w:tcPr>
          <w:p>
            <w:r>
              <w:rPr>
                <w:rFonts w:ascii="Aptos" w:hAnsi="Aptos"/>
                <w:b w:val="0"/>
                <w:i w:val="0"/>
                <w:color w:val="2F292B"/>
                <w:sz w:val="18"/>
              </w:rPr>
              <w:t>Store files, access controls, pricing, tax, delivery, recovery</w:t>
            </w:r>
          </w:p>
        </w:tc>
        <w:tc>
          <w:tcPr>
            <w:tcW w:type="dxa" w:w="3510"/>
            <w:vAlign w:val="center"/>
            <w:tcMar>
              <w:top w:w="100" w:type="dxa"/>
              <w:start w:w="140" w:type="dxa"/>
              <w:bottom w:w="100" w:type="dxa"/>
              <w:end w:w="140" w:type="dxa"/>
            </w:tcMar>
          </w:tcPr>
          <w:p>
            <w:r>
              <w:rPr>
                <w:rFonts w:ascii="Aptos" w:hAnsi="Aptos"/>
                <w:b w:val="0"/>
                <w:i w:val="0"/>
                <w:color w:val="2F292B"/>
                <w:sz w:val="18"/>
              </w:rPr>
              <w:t>Distribution package and test purchase</w:t>
            </w:r>
          </w:p>
        </w:tc>
      </w:tr>
      <w:tr>
        <w:tc>
          <w:tcPr>
            <w:tcW w:type="dxa" w:w="1800"/>
            <w:vAlign w:val="center"/>
            <w:tcMar>
              <w:top w:w="100" w:type="dxa"/>
              <w:start w:w="140" w:type="dxa"/>
              <w:bottom w:w="100" w:type="dxa"/>
              <w:end w:w="140" w:type="dxa"/>
            </w:tcMar>
          </w:tcPr>
          <w:p>
            <w:r>
              <w:rPr>
                <w:rFonts w:ascii="Aptos" w:hAnsi="Aptos"/>
                <w:b w:val="0"/>
                <w:i w:val="0"/>
                <w:color w:val="2F292B"/>
                <w:sz w:val="18"/>
              </w:rPr>
              <w:t>Publication</w:t>
            </w:r>
          </w:p>
        </w:tc>
        <w:tc>
          <w:tcPr>
            <w:tcW w:type="dxa" w:w="4050"/>
            <w:vAlign w:val="center"/>
            <w:tcMar>
              <w:top w:w="100" w:type="dxa"/>
              <w:start w:w="140" w:type="dxa"/>
              <w:bottom w:w="100" w:type="dxa"/>
              <w:end w:w="140" w:type="dxa"/>
            </w:tcMar>
          </w:tcPr>
          <w:p>
            <w:r>
              <w:rPr>
                <w:rFonts w:ascii="Aptos" w:hAnsi="Aptos"/>
                <w:b w:val="0"/>
                <w:i w:val="0"/>
                <w:color w:val="2F292B"/>
                <w:sz w:val="18"/>
              </w:rPr>
              <w:t>Site route, accessibility, links, analytics, legal and privacy</w:t>
            </w:r>
          </w:p>
        </w:tc>
        <w:tc>
          <w:tcPr>
            <w:tcW w:type="dxa" w:w="3510"/>
            <w:vAlign w:val="center"/>
            <w:tcMar>
              <w:top w:w="100" w:type="dxa"/>
              <w:start w:w="140" w:type="dxa"/>
              <w:bottom w:w="100" w:type="dxa"/>
              <w:end w:w="140" w:type="dxa"/>
            </w:tcMar>
          </w:tcPr>
          <w:p>
            <w:r>
              <w:rPr>
                <w:rFonts w:ascii="Aptos" w:hAnsi="Aptos"/>
                <w:b w:val="0"/>
                <w:i w:val="0"/>
                <w:color w:val="2F292B"/>
                <w:sz w:val="18"/>
              </w:rPr>
              <w:t>Release record and direct-route verification</w:t>
            </w:r>
          </w:p>
        </w:tc>
      </w:tr>
    </w:tbl>
    <w:p/>
    <w:p>
      <w:pPr>
        <w:pStyle w:val="Heading2"/>
      </w:pPr>
      <w:r>
        <w:t>Audio file and archive standard</w:t>
      </w:r>
    </w:p>
    <w:p>
      <w:pPr>
        <w:pStyle w:val="ListBullet"/>
      </w:pPr>
      <w:r>
        <w:rPr>
          <w:rFonts w:ascii="Aptos" w:hAnsi="Aptos"/>
          <w:b w:val="0"/>
          <w:i w:val="0"/>
          <w:color w:val="2F292B"/>
          <w:sz w:val="21"/>
        </w:rPr>
        <w:t>Preserve unprocessed WAV masters, edited WAV masters, distribution files, transcript, cue sheet, metadata, cover art, permissions, and quality-control notes.</w:t>
      </w:r>
    </w:p>
    <w:p>
      <w:pPr>
        <w:pStyle w:val="ListBullet"/>
      </w:pPr>
      <w:r>
        <w:rPr>
          <w:rFonts w:ascii="Aptos" w:hAnsi="Aptos"/>
          <w:b w:val="0"/>
          <w:i w:val="0"/>
          <w:color w:val="2F292B"/>
          <w:sz w:val="21"/>
        </w:rPr>
        <w:t>Use stable names: Series_Book##_Ch##_ShortTitle_vYYYYMMDD_Status.ext.</w:t>
      </w:r>
    </w:p>
    <w:p>
      <w:pPr>
        <w:pStyle w:val="ListBullet"/>
      </w:pPr>
      <w:r>
        <w:rPr>
          <w:rFonts w:ascii="Aptos" w:hAnsi="Aptos"/>
          <w:b w:val="0"/>
          <w:i w:val="0"/>
          <w:color w:val="2F292B"/>
          <w:sz w:val="21"/>
        </w:rPr>
        <w:t>Maintain at least two controlled backups and a rights record for music, quotations, images, voices, and third-party contributions.</w:t>
      </w:r>
    </w:p>
    <w:p>
      <w:pPr>
        <w:pStyle w:val="ListBullet"/>
      </w:pPr>
      <w:r>
        <w:rPr>
          <w:rFonts w:ascii="Aptos" w:hAnsi="Aptos"/>
          <w:b w:val="0"/>
          <w:i w:val="0"/>
          <w:color w:val="2F292B"/>
          <w:sz w:val="21"/>
        </w:rPr>
        <w:t>Do not train, clone, synthesize, or repurpose Dr. Brown’s voice without separate explicit authorization, defined purpose, review, disclosure, and revocation controls.</w:t>
      </w:r>
    </w:p>
    <w:p>
      <w:pPr>
        <w:pStyle w:val="Heading1"/>
      </w:pPr>
      <w:r>
        <w:t>8. Release acceptance standard</w:t>
      </w:r>
    </w:p>
    <w:p>
      <w:pPr>
        <w:pStyle w:val="ListBullet"/>
      </w:pPr>
      <w:r>
        <w:rPr>
          <w:rFonts w:ascii="Aptos" w:hAnsi="Aptos"/>
          <w:b w:val="0"/>
          <w:i w:val="0"/>
          <w:color w:val="2F292B"/>
          <w:sz w:val="21"/>
        </w:rPr>
        <w:t>The complete audiobook, e-book, companion, transcript, cover, metadata, and delivery links agree on title, chapter order, author, edition, and claims.</w:t>
      </w:r>
    </w:p>
    <w:p>
      <w:pPr>
        <w:pStyle w:val="ListBullet"/>
      </w:pPr>
      <w:r>
        <w:rPr>
          <w:rFonts w:ascii="Aptos" w:hAnsi="Aptos"/>
          <w:b w:val="0"/>
          <w:i w:val="0"/>
          <w:color w:val="2F292B"/>
          <w:sz w:val="21"/>
        </w:rPr>
        <w:t>Every audio chapter falls within its declared duration and has been heard on headphones, phone speaker, and a common room or vehicle speaker.</w:t>
      </w:r>
    </w:p>
    <w:p>
      <w:pPr>
        <w:pStyle w:val="ListBullet"/>
      </w:pPr>
      <w:r>
        <w:rPr>
          <w:rFonts w:ascii="Aptos" w:hAnsi="Aptos"/>
          <w:b w:val="0"/>
          <w:i w:val="0"/>
          <w:color w:val="2F292B"/>
          <w:sz w:val="21"/>
        </w:rPr>
        <w:t>Every Scripture reference, name, credential, pronunciation, quotation, source, and call to action has been verified.</w:t>
      </w:r>
    </w:p>
    <w:p>
      <w:pPr>
        <w:pStyle w:val="ListBullet"/>
      </w:pPr>
      <w:r>
        <w:rPr>
          <w:rFonts w:ascii="Aptos" w:hAnsi="Aptos"/>
          <w:b w:val="0"/>
          <w:i w:val="0"/>
          <w:color w:val="2F292B"/>
          <w:sz w:val="21"/>
        </w:rPr>
        <w:t>Every document page has been inspected for clipping, overflow, blank anomalies, orphaned headings, table errors, image artifacts, and unreadable contrast.</w:t>
      </w:r>
    </w:p>
    <w:p>
      <w:pPr>
        <w:pStyle w:val="ListBullet"/>
      </w:pPr>
      <w:r>
        <w:rPr>
          <w:rFonts w:ascii="Aptos" w:hAnsi="Aptos"/>
          <w:b w:val="0"/>
          <w:i w:val="0"/>
          <w:color w:val="2F292B"/>
          <w:sz w:val="21"/>
        </w:rPr>
        <w:t>Every Site route loads directly, works on mobile, preserves existing content, retains legal and privacy pathways, and offers visible keyboard focus.</w:t>
      </w:r>
    </w:p>
    <w:p>
      <w:pPr>
        <w:pStyle w:val="ListBullet"/>
      </w:pPr>
      <w:r>
        <w:rPr>
          <w:rFonts w:ascii="Aptos" w:hAnsi="Aptos"/>
          <w:b w:val="0"/>
          <w:i w:val="0"/>
          <w:color w:val="2F292B"/>
          <w:sz w:val="21"/>
        </w:rPr>
        <w:t>The release record states what was published, where, when, by whom, from which approved source, and how rollback or correction will occur.</w:t>
      </w:r>
    </w:p>
    <w:sectPr w:rsidR="00FC693F" w:rsidRPr="0006063C" w:rsidSect="00034616">
      <w:headerReference w:type="default" r:id="rId9"/>
      <w:footerReference w:type="default" r:id="rId10"/>
      <w:pgSz w:w="12240" w:h="15840"/>
      <w:pgMar w:top="1123" w:right="1181" w:bottom="1080" w:left="1181" w:header="547" w:footer="54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i w:val="0"/>
        <w:color w:val="715F62"/>
        <w:sz w:val="16"/>
      </w:rPr>
      <w:t xml:space="preserve">DR. SHERRY-ANN BROWN  |  </w:t>
    </w:r>
    <w:r>
      <w:fldChar w:fldCharType="begin"/>
      <w:instrText xml:space="preserve">PAGE</w:instrText>
      <w:fldChar w:fldCharType="separate"/>
      <w:t>1</w:t>
      <w:fldChar w:fldCharType="end"/>
    </w:r>
    <w:r>
      <w:t xml:space="preserve">  |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Aptos" w:hAnsi="Aptos"/>
        <w:b/>
        <w:i w:val="0"/>
        <w:color w:val="B78B3F"/>
        <w:sz w:val="16"/>
      </w:rPr>
      <w:t>PUBLISHING SYSTEM PLAYBOOK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4" w:lineRule="auto"/>
    </w:pPr>
    <w:rPr>
      <w:rFonts w:ascii="Aptos" w:hAnsi="Aptos"/>
      <w:color w:val="2F292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Georgia" w:hAnsi="Georgia"/>
      <w:b/>
      <w:bCs/>
      <w:color w:val="762631"/>
      <w:sz w:val="40"/>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Georgia" w:hAnsi="Georgia"/>
      <w:b/>
      <w:bCs/>
      <w:color w:val="762631"/>
      <w:sz w:val="30"/>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32181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Georgia" w:hAnsi="Georgia"/>
      <w:b/>
      <w:color w:val="FFF9F2"/>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Georgia" w:hAnsi="Georgia"/>
      <w:b w:val="0"/>
      <w:i/>
      <w:iCs/>
      <w:color w:val="B78B3F"/>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10" w:line="274" w:lineRule="auto"/>
      <w:ind w:left="504" w:hanging="259"/>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10" w:line="274" w:lineRule="auto"/>
      <w:ind w:left="504" w:hanging="259"/>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