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drawing>
          <wp:inline xmlns:a="http://schemas.openxmlformats.org/drawingml/2006/main" xmlns:pic="http://schemas.openxmlformats.org/drawingml/2006/picture">
            <wp:extent cx="3337560" cy="4314923"/>
            <wp:docPr id="1" name="Picture 1"/>
            <wp:cNvGraphicFramePr>
              <a:graphicFrameLocks noChangeAspect="1"/>
            </wp:cNvGraphicFramePr>
            <a:graphic>
              <a:graphicData uri="http://schemas.openxmlformats.org/drawingml/2006/picture">
                <pic:pic>
                  <pic:nvPicPr>
                    <pic:cNvPr id="0" name="professional-calling-editorial-cover.png"/>
                    <pic:cNvPicPr/>
                  </pic:nvPicPr>
                  <pic:blipFill>
                    <a:blip r:embed="rId11"/>
                    <a:stretch>
                      <a:fillRect/>
                    </a:stretch>
                  </pic:blipFill>
                  <pic:spPr>
                    <a:xfrm>
                      <a:off x="0" y="0"/>
                      <a:ext cx="3337560" cy="4314923"/>
                    </a:xfrm>
                    <a:prstGeom prst="rect"/>
                  </pic:spPr>
                </pic:pic>
              </a:graphicData>
            </a:graphic>
          </wp:inline>
        </w:drawing>
      </w:r>
    </w:p>
    <w:p>
      <w:pPr>
        <w:spacing w:before="0"/>
        <w:jc w:val="center"/>
      </w:pPr>
      <w:r>
        <w:rPr>
          <w:rFonts w:ascii="Aptos" w:hAnsi="Aptos"/>
          <w:b/>
          <w:i w:val="0"/>
          <w:color w:val="B78B3F"/>
          <w:sz w:val="18"/>
        </w:rPr>
        <w:t>REFLECTION COMPANION</w:t>
      </w:r>
    </w:p>
    <w:p>
      <w:pPr>
        <w:spacing w:before="300" w:after="160"/>
        <w:jc w:val="center"/>
      </w:pPr>
      <w:r>
        <w:rPr>
          <w:rFonts w:ascii="Georgia" w:hAnsi="Georgia"/>
          <w:b/>
          <w:i w:val="0"/>
          <w:color w:val="762631"/>
          <w:sz w:val="60"/>
        </w:rPr>
        <w:t>Digital Reflection Companion Master</w:t>
      </w:r>
    </w:p>
    <w:p>
      <w:pPr>
        <w:spacing w:after="480"/>
        <w:jc w:val="center"/>
      </w:pPr>
      <w:r>
        <w:rPr>
          <w:rFonts w:ascii="Georgia" w:hAnsi="Georgia"/>
          <w:b w:val="0"/>
          <w:i/>
          <w:color w:val="32181F"/>
          <w:sz w:val="28"/>
        </w:rPr>
        <w:t>A reusable complete companion for every audiobook and guided listening journey</w:t>
      </w:r>
    </w:p>
    <w:p>
      <w:pPr>
        <w:spacing w:before="200"/>
        <w:jc w:val="center"/>
      </w:pPr>
      <w:r>
        <w:rPr>
          <w:rFonts w:ascii="Aptos" w:hAnsi="Aptos"/>
          <w:b/>
          <w:i w:val="0"/>
          <w:color w:val="715F62"/>
          <w:sz w:val="18"/>
        </w:rPr>
        <w:t>Prepared for</w:t>
      </w:r>
    </w:p>
    <w:p>
      <w:pPr>
        <w:jc w:val="center"/>
      </w:pPr>
      <w:r>
        <w:rPr>
          <w:rFonts w:ascii="Georgia" w:hAnsi="Georgia"/>
          <w:b/>
          <w:i w:val="0"/>
          <w:color w:val="762631"/>
          <w:sz w:val="26"/>
        </w:rPr>
        <w:t>Dr. Sherry-Ann Brown, MD, PhD, FACC, FAHA</w:t>
      </w:r>
    </w:p>
    <w:p>
      <w:pPr>
        <w:jc w:val="center"/>
      </w:pPr>
      <w:r>
        <w:rPr>
          <w:rFonts w:ascii="Aptos" w:hAnsi="Aptos"/>
          <w:b/>
          <w:i w:val="0"/>
          <w:color w:val="B78B3F"/>
          <w:sz w:val="18"/>
        </w:rPr>
        <w:t>The MD PhD Prophet  |  The Spark Unfolding Book Club</w:t>
      </w:r>
    </w:p>
    <w:p>
      <w:pPr>
        <w:spacing w:before="160"/>
        <w:jc w:val="center"/>
      </w:pPr>
      <w:r>
        <w:rPr>
          <w:rFonts w:ascii="Aptos" w:hAnsi="Aptos"/>
          <w:b/>
          <w:i w:val="0"/>
          <w:color w:val="32181F"/>
          <w:sz w:val="16"/>
        </w:rPr>
        <w:t>COMPLETE  |  ACCURATE  |  READABLE  |  REFINED  |  PURPOSE-BUILT</w:t>
      </w:r>
    </w:p>
    <w:p>
      <w:r>
        <w:br w:type="page"/>
      </w:r>
    </w:p>
    <w:p>
      <w:pPr>
        <w:pStyle w:val="Heading1"/>
      </w:pPr>
      <w:r>
        <w:t>How to use this companion</w:t>
      </w:r>
    </w:p>
    <w:p>
      <w:r>
        <w:rPr>
          <w:rFonts w:ascii="Aptos" w:hAnsi="Aptos"/>
          <w:b w:val="0"/>
          <w:i w:val="0"/>
          <w:color w:val="2F292B"/>
          <w:sz w:val="21"/>
        </w:rPr>
        <w:t>Use these pages beside an audiobook, e-book, print edition, or facilitated circle. Complete one chapter at a time. You may write before listening, during a marked pause only when it is safe, or after the chapter ends. If you are driving, working clinically, operating equipment, or otherwise need your full attention, continue listening and return later.</w:t>
      </w:r>
    </w:p>
    <w:tbl>
      <w:tblPr>
        <w:tblW w:type="dxa" w:w="9360"/>
        <w:jc w:val="center"/>
        <w:tblLayout w:type="fixed"/>
        <w:tblLook w:firstColumn="1" w:firstRow="1" w:lastColumn="0" w:lastRow="0" w:noHBand="0" w:noVBand="1" w:val="04A0"/>
        <w:tblInd w:w="140" w:type="dxa"/>
      </w:tblPr>
      <w:tblGrid>
        <w:gridCol w:w="9360"/>
      </w:tblGrid>
      <w:tr>
        <w:tc>
          <w:tcPr>
            <w:tcW w:type="dxa" w:w="9360"/>
            <w:tcMar>
              <w:top w:w="100" w:type="dxa"/>
              <w:start w:w="140" w:type="dxa"/>
              <w:bottom w:w="100" w:type="dxa"/>
              <w:end w:w="140" w:type="dxa"/>
            </w:tcMar>
            <w:shd w:fill="F5E4E4"/>
          </w:tcPr>
          <w:p>
            <w:r>
              <w:rPr>
                <w:rFonts w:ascii="Aptos" w:hAnsi="Aptos"/>
                <w:b/>
                <w:i w:val="0"/>
                <w:color w:val="B78B3F"/>
                <w:sz w:val="18"/>
              </w:rPr>
              <w:t xml:space="preserve">FOUR MOVEMENTS  </w:t>
            </w:r>
            <w:r>
              <w:rPr>
                <w:rFonts w:ascii="Georgia" w:hAnsi="Georgia"/>
                <w:b w:val="0"/>
                <w:i/>
                <w:color w:val="32181F"/>
                <w:sz w:val="22"/>
              </w:rPr>
              <w:t>Recognize what remains with you. Reflect across Scripture, evidence, experience, emotion, and responsibility. Discern what requires testing, counsel, time, or separation. Respond through one faithful, proportionate, possible step.</w:t>
            </w:r>
          </w:p>
        </w:tc>
      </w:tr>
    </w:tbl>
    <w:p/>
    <w:p>
      <w:pPr>
        <w:pStyle w:val="Heading2"/>
      </w:pPr>
      <w:r>
        <w:t>Confidentiality and care</w:t>
      </w:r>
    </w:p>
    <w:p>
      <w:pPr>
        <w:pStyle w:val="ListBullet"/>
      </w:pPr>
      <w:r>
        <w:rPr>
          <w:rFonts w:ascii="Aptos" w:hAnsi="Aptos"/>
          <w:b w:val="0"/>
          <w:i w:val="0"/>
          <w:color w:val="2F292B"/>
          <w:sz w:val="21"/>
        </w:rPr>
        <w:t>Do not record protected health information, identifying clinical stories, confidential workplace information, passwords, security details, or another person’s private story.</w:t>
      </w:r>
    </w:p>
    <w:p>
      <w:pPr>
        <w:pStyle w:val="ListBullet"/>
      </w:pPr>
      <w:r>
        <w:rPr>
          <w:rFonts w:ascii="Aptos" w:hAnsi="Aptos"/>
          <w:b w:val="0"/>
          <w:i w:val="0"/>
          <w:color w:val="2F292B"/>
          <w:sz w:val="21"/>
        </w:rPr>
        <w:t>This companion supports education and spiritual reflection. It does not replace individualized medical care, mental-health care, legal advice, pastoral care, emergency support, or professional supervision.</w:t>
      </w:r>
    </w:p>
    <w:p>
      <w:pPr>
        <w:pStyle w:val="ListBullet"/>
      </w:pPr>
      <w:r>
        <w:rPr>
          <w:rFonts w:ascii="Aptos" w:hAnsi="Aptos"/>
          <w:b w:val="0"/>
          <w:i w:val="0"/>
          <w:color w:val="2F292B"/>
          <w:sz w:val="21"/>
        </w:rPr>
        <w:t>If reflection reveals an urgent safety concern, stop the exercise and contact appropriate local emergency or crisis support.</w:t>
      </w:r>
    </w:p>
    <w:p>
      <w:pPr>
        <w:pStyle w:val="ListBullet"/>
      </w:pPr>
      <w:r>
        <w:rPr>
          <w:rFonts w:ascii="Aptos" w:hAnsi="Aptos"/>
          <w:b w:val="0"/>
          <w:i w:val="0"/>
          <w:color w:val="2F292B"/>
          <w:sz w:val="21"/>
        </w:rPr>
        <w:t>Spiritual impressions belong in a process of Scripture, context, time, wise counsel, humility, freedom from coercion, and review of fruit.</w:t>
      </w:r>
    </w:p>
    <w:p>
      <w:pPr>
        <w:pStyle w:val="Heading2"/>
      </w:pPr>
      <w:r>
        <w:t>My listening covenant</w:t>
      </w:r>
    </w:p>
    <w:p>
      <w:r>
        <w:rPr>
          <w:rFonts w:ascii="Aptos" w:hAnsi="Aptos"/>
          <w:b/>
          <w:i w:val="0"/>
          <w:color w:val="2F292B"/>
          <w:sz w:val="21"/>
        </w:rPr>
        <w:t>The question I am bringing:</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The pace I can sustain:</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The place and time in which I can listen safely:</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The boundary that will protect this process:</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The person or community from whom I may seek wise counsel:</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br w:type="page"/>
      </w:r>
    </w:p>
    <w:p>
      <w:pPr>
        <w:pStyle w:val="Heading1"/>
      </w:pPr>
      <w:r>
        <w:t>Chapter 1 reflection</w:t>
      </w:r>
    </w:p>
    <w:p>
      <w:pPr>
        <w:pStyle w:val="Heading2"/>
      </w:pPr>
      <w:r>
        <w:t>Before listening</w:t>
      </w:r>
    </w:p>
    <w:p>
      <w:r>
        <w:rPr>
          <w:rFonts w:ascii="Aptos" w:hAnsi="Aptos"/>
          <w:b w:val="0"/>
          <w:i w:val="0"/>
          <w:color w:val="2F292B"/>
          <w:sz w:val="21"/>
        </w:rPr>
        <w:t>What is present in me as I begin: intellectually, emotionally, physically, relationally, professionally, and spiritually?</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Scripture</w:t>
      </w:r>
    </w:p>
    <w:p>
      <w:r>
        <w:rPr>
          <w:rFonts w:ascii="Aptos" w:hAnsi="Aptos"/>
          <w:b w:val="0"/>
          <w:i w:val="0"/>
          <w:color w:val="2F292B"/>
          <w:sz w:val="21"/>
        </w:rPr>
        <w:t>References named in this chapter:</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val="0"/>
          <w:i w:val="0"/>
          <w:color w:val="2F292B"/>
          <w:sz w:val="21"/>
        </w:rPr>
        <w:t>What the passage says in context:</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val="0"/>
          <w:i w:val="0"/>
          <w:color w:val="2F292B"/>
          <w:sz w:val="21"/>
        </w:rPr>
        <w:t>What I am considering, without presenting my interpretation as certainty:</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br w:type="page"/>
      </w:r>
    </w:p>
    <w:p>
      <w:pPr>
        <w:pStyle w:val="Heading1"/>
      </w:pPr>
      <w:r>
        <w:t>Chapter 1: recognize and reflect</w:t>
      </w:r>
    </w:p>
    <w:p>
      <w:pPr>
        <w:pStyle w:val="Heading2"/>
      </w:pPr>
      <w:r>
        <w:t>What sentence, image, tension, memory, or possibility stayed with me?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is observable fact or evidence?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belongs to my personal testimony or lived experience?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am I interpreting? What alternative interpretation also deserves consideration?</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emotion or embodied response may be giving me information?</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responsibility, relationship, boundary, or context must remain in view?</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br w:type="page"/>
      </w:r>
    </w:p>
    <w:p>
      <w:pPr>
        <w:pStyle w:val="Heading1"/>
      </w:pPr>
      <w:r>
        <w:t>Chapter 1: discern and respond</w:t>
      </w:r>
    </w:p>
    <w:p>
      <w:pPr>
        <w:pStyle w:val="Heading2"/>
      </w:pPr>
      <w:r>
        <w:t>What might I be spiritually discerning? How will I test it through Scripture, context, time, counsel, humility, and fruit?</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is not yet clear, and what permission can I give myself not to force?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one faithful, proportionate, ethical, and possible response can I take?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When will I review the fruit of that response?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Prayer</w:t>
      </w:r>
    </w:p>
    <w:p>
      <w:r>
        <w:rPr>
          <w:rFonts w:ascii="Aptos" w:hAnsi="Aptos"/>
          <w:b w:val="0"/>
          <w:i/>
          <w:color w:val="2F292B"/>
          <w:sz w:val="21"/>
        </w:rPr>
        <w:t>God of wisdom and truth, help me receive what is mine to receive, release what is not mine to carry, test what requires testing, and respond with humility, courage, love, and integrity. Guard the dignity and privacy of every person touched by my decisions. Give me patience where meaning is still maturing. Amen.</w:t>
      </w:r>
    </w:p>
    <w:p>
      <w:pPr>
        <w:pStyle w:val="Heading2"/>
      </w:pPr>
      <w:r>
        <w:t>Next-action record</w:t>
      </w:r>
    </w:p>
    <w:tbl>
      <w:tblPr>
        <w:tblStyle w:val="TableGrid"/>
        <w:tblW w:type="dxa" w:w="9360"/>
        <w:jc w:val="center"/>
        <w:tblLayout w:type="fixed"/>
        <w:tblLook w:firstColumn="1" w:firstRow="1" w:lastColumn="0" w:lastRow="0" w:noHBand="0" w:noVBand="1" w:val="04A0"/>
        <w:tblInd w:w="140" w:type="dxa"/>
      </w:tblPr>
      <w:tblGrid>
        <w:gridCol w:w="2400"/>
        <w:gridCol w:w="1800"/>
        <w:gridCol w:w="3260"/>
        <w:gridCol w:w="1900"/>
      </w:tblGrid>
      <w:tr>
        <w:trPr>
          <w:tblHeader w:val="true"/>
        </w:trPr>
        <w:tc>
          <w:tcPr>
            <w:tcW w:type="dxa" w:w="2400"/>
            <w:tcMar>
              <w:top w:w="100" w:type="dxa"/>
              <w:start w:w="140" w:type="dxa"/>
              <w:bottom w:w="100" w:type="dxa"/>
              <w:end w:w="140" w:type="dxa"/>
            </w:tcMar>
            <w:shd w:fill="762631"/>
            <w:vAlign w:val="center"/>
          </w:tcPr>
          <w:p>
            <w:r>
              <w:rPr>
                <w:rFonts w:ascii="Aptos" w:hAnsi="Aptos"/>
                <w:b/>
                <w:i w:val="0"/>
                <w:color w:val="FFFFFF"/>
                <w:sz w:val="18"/>
              </w:rPr>
              <w:t>Action</w:t>
            </w:r>
          </w:p>
        </w:tc>
        <w:tc>
          <w:tcPr>
            <w:tcW w:type="dxa" w:w="1800"/>
            <w:tcMar>
              <w:top w:w="100" w:type="dxa"/>
              <w:start w:w="140" w:type="dxa"/>
              <w:bottom w:w="100" w:type="dxa"/>
              <w:end w:w="140" w:type="dxa"/>
            </w:tcMar>
            <w:shd w:fill="762631"/>
            <w:vAlign w:val="center"/>
          </w:tcPr>
          <w:p>
            <w:r>
              <w:rPr>
                <w:rFonts w:ascii="Aptos" w:hAnsi="Aptos"/>
                <w:b/>
                <w:i w:val="0"/>
                <w:color w:val="FFFFFF"/>
                <w:sz w:val="18"/>
              </w:rPr>
              <w:t>By when</w:t>
            </w:r>
          </w:p>
        </w:tc>
        <w:tc>
          <w:tcPr>
            <w:tcW w:type="dxa" w:w="3260"/>
            <w:tcMar>
              <w:top w:w="100" w:type="dxa"/>
              <w:start w:w="140" w:type="dxa"/>
              <w:bottom w:w="100" w:type="dxa"/>
              <w:end w:w="140" w:type="dxa"/>
            </w:tcMar>
            <w:shd w:fill="762631"/>
            <w:vAlign w:val="center"/>
          </w:tcPr>
          <w:p>
            <w:r>
              <w:rPr>
                <w:rFonts w:ascii="Aptos" w:hAnsi="Aptos"/>
                <w:b/>
                <w:i w:val="0"/>
                <w:color w:val="FFFFFF"/>
                <w:sz w:val="18"/>
              </w:rPr>
              <w:t>Support or boundary</w:t>
            </w:r>
          </w:p>
        </w:tc>
        <w:tc>
          <w:tcPr>
            <w:tcW w:type="dxa" w:w="1900"/>
            <w:tcMar>
              <w:top w:w="100" w:type="dxa"/>
              <w:start w:w="140" w:type="dxa"/>
              <w:bottom w:w="100" w:type="dxa"/>
              <w:end w:w="140" w:type="dxa"/>
            </w:tcMar>
            <w:shd w:fill="762631"/>
            <w:vAlign w:val="center"/>
          </w:tcPr>
          <w:p>
            <w:r>
              <w:rPr>
                <w:rFonts w:ascii="Aptos" w:hAnsi="Aptos"/>
                <w:b/>
                <w:i w:val="0"/>
                <w:color w:val="FFFFFF"/>
                <w:sz w:val="18"/>
              </w:rPr>
              <w:t>Review date</w:t>
            </w:r>
          </w:p>
        </w:tc>
      </w:tr>
      <w:tr>
        <w:tc>
          <w:tcPr>
            <w:tcW w:type="dxa" w:w="2400"/>
            <w:vAlign w:val="center"/>
            <w:tcMar>
              <w:top w:w="100" w:type="dxa"/>
              <w:start w:w="140" w:type="dxa"/>
              <w:bottom w:w="100" w:type="dxa"/>
              <w:end w:w="140" w:type="dxa"/>
            </w:tcMar>
          </w:tcPr>
          <w:p>
            <w:r>
              <w:rPr>
                <w:rFonts w:ascii="Aptos" w:hAnsi="Aptos"/>
                <w:b w:val="0"/>
                <w:i w:val="0"/>
                <w:color w:val="2F292B"/>
                <w:sz w:val="18"/>
              </w:rPr>
            </w:r>
          </w:p>
        </w:tc>
        <w:tc>
          <w:tcPr>
            <w:tcW w:type="dxa" w:w="1800"/>
            <w:vAlign w:val="center"/>
            <w:tcMar>
              <w:top w:w="100" w:type="dxa"/>
              <w:start w:w="140" w:type="dxa"/>
              <w:bottom w:w="100" w:type="dxa"/>
              <w:end w:w="140" w:type="dxa"/>
            </w:tcMar>
          </w:tcPr>
          <w:p>
            <w:r>
              <w:rPr>
                <w:rFonts w:ascii="Aptos" w:hAnsi="Aptos"/>
                <w:b w:val="0"/>
                <w:i w:val="0"/>
                <w:color w:val="2F292B"/>
                <w:sz w:val="18"/>
              </w:rPr>
            </w:r>
          </w:p>
        </w:tc>
        <w:tc>
          <w:tcPr>
            <w:tcW w:type="dxa" w:w="3260"/>
            <w:vAlign w:val="center"/>
            <w:tcMar>
              <w:top w:w="100" w:type="dxa"/>
              <w:start w:w="140" w:type="dxa"/>
              <w:bottom w:w="100" w:type="dxa"/>
              <w:end w:w="140" w:type="dxa"/>
            </w:tcMar>
          </w:tcPr>
          <w:p>
            <w:r>
              <w:rPr>
                <w:rFonts w:ascii="Aptos" w:hAnsi="Aptos"/>
                <w:b w:val="0"/>
                <w:i w:val="0"/>
                <w:color w:val="2F292B"/>
                <w:sz w:val="18"/>
              </w:rPr>
            </w:r>
          </w:p>
        </w:tc>
        <w:tc>
          <w:tcPr>
            <w:tcW w:type="dxa" w:w="1900"/>
            <w:vAlign w:val="center"/>
            <w:tcMar>
              <w:top w:w="100" w:type="dxa"/>
              <w:start w:w="140" w:type="dxa"/>
              <w:bottom w:w="100" w:type="dxa"/>
              <w:end w:w="140" w:type="dxa"/>
            </w:tcMar>
          </w:tcPr>
          <w:p>
            <w:r>
              <w:rPr>
                <w:rFonts w:ascii="Aptos" w:hAnsi="Aptos"/>
                <w:b w:val="0"/>
                <w:i w:val="0"/>
                <w:color w:val="2F292B"/>
                <w:sz w:val="18"/>
              </w:rPr>
            </w:r>
          </w:p>
        </w:tc>
      </w:tr>
    </w:tbl>
    <w:p/>
    <w:p>
      <w:r>
        <w:br w:type="page"/>
      </w:r>
    </w:p>
    <w:p>
      <w:pPr>
        <w:pStyle w:val="Heading1"/>
      </w:pPr>
      <w:r>
        <w:t>Chapter 2 reflection</w:t>
      </w:r>
    </w:p>
    <w:p>
      <w:pPr>
        <w:pStyle w:val="Heading2"/>
      </w:pPr>
      <w:r>
        <w:t>Before listening</w:t>
      </w:r>
    </w:p>
    <w:p>
      <w:r>
        <w:rPr>
          <w:rFonts w:ascii="Aptos" w:hAnsi="Aptos"/>
          <w:b w:val="0"/>
          <w:i w:val="0"/>
          <w:color w:val="2F292B"/>
          <w:sz w:val="21"/>
        </w:rPr>
        <w:t>What is present in me as I begin: intellectually, emotionally, physically, relationally, professionally, and spiritually?</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Scripture</w:t>
      </w:r>
    </w:p>
    <w:p>
      <w:r>
        <w:rPr>
          <w:rFonts w:ascii="Aptos" w:hAnsi="Aptos"/>
          <w:b w:val="0"/>
          <w:i w:val="0"/>
          <w:color w:val="2F292B"/>
          <w:sz w:val="21"/>
        </w:rPr>
        <w:t>References named in this chapter:</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val="0"/>
          <w:i w:val="0"/>
          <w:color w:val="2F292B"/>
          <w:sz w:val="21"/>
        </w:rPr>
        <w:t>What the passage says in context:</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val="0"/>
          <w:i w:val="0"/>
          <w:color w:val="2F292B"/>
          <w:sz w:val="21"/>
        </w:rPr>
        <w:t>What I am considering, without presenting my interpretation as certainty:</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br w:type="page"/>
      </w:r>
    </w:p>
    <w:p>
      <w:pPr>
        <w:pStyle w:val="Heading1"/>
      </w:pPr>
      <w:r>
        <w:t>Chapter 2: recognize and reflect</w:t>
      </w:r>
    </w:p>
    <w:p>
      <w:pPr>
        <w:pStyle w:val="Heading2"/>
      </w:pPr>
      <w:r>
        <w:t>What sentence, image, tension, memory, or possibility stayed with me?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is observable fact or evidence?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belongs to my personal testimony or lived experience?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am I interpreting? What alternative interpretation also deserves consideration?</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emotion or embodied response may be giving me information?</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responsibility, relationship, boundary, or context must remain in view?</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br w:type="page"/>
      </w:r>
    </w:p>
    <w:p>
      <w:pPr>
        <w:pStyle w:val="Heading1"/>
      </w:pPr>
      <w:r>
        <w:t>Chapter 2: discern and respond</w:t>
      </w:r>
    </w:p>
    <w:p>
      <w:pPr>
        <w:pStyle w:val="Heading2"/>
      </w:pPr>
      <w:r>
        <w:t>What might I be spiritually discerning? How will I test it through Scripture, context, time, counsel, humility, and fruit?</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is not yet clear, and what permission can I give myself not to force?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one faithful, proportionate, ethical, and possible response can I take?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When will I review the fruit of that response?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Prayer</w:t>
      </w:r>
    </w:p>
    <w:p>
      <w:r>
        <w:rPr>
          <w:rFonts w:ascii="Aptos" w:hAnsi="Aptos"/>
          <w:b w:val="0"/>
          <w:i/>
          <w:color w:val="2F292B"/>
          <w:sz w:val="21"/>
        </w:rPr>
        <w:t>God of wisdom and truth, help me receive what is mine to receive, release what is not mine to carry, test what requires testing, and respond with humility, courage, love, and integrity. Guard the dignity and privacy of every person touched by my decisions. Give me patience where meaning is still maturing. Amen.</w:t>
      </w:r>
    </w:p>
    <w:p>
      <w:pPr>
        <w:pStyle w:val="Heading2"/>
      </w:pPr>
      <w:r>
        <w:t>Next-action record</w:t>
      </w:r>
    </w:p>
    <w:tbl>
      <w:tblPr>
        <w:tblStyle w:val="TableGrid"/>
        <w:tblW w:type="dxa" w:w="9360"/>
        <w:jc w:val="center"/>
        <w:tblLayout w:type="fixed"/>
        <w:tblLook w:firstColumn="1" w:firstRow="1" w:lastColumn="0" w:lastRow="0" w:noHBand="0" w:noVBand="1" w:val="04A0"/>
        <w:tblInd w:w="140" w:type="dxa"/>
      </w:tblPr>
      <w:tblGrid>
        <w:gridCol w:w="2400"/>
        <w:gridCol w:w="1800"/>
        <w:gridCol w:w="3260"/>
        <w:gridCol w:w="1900"/>
      </w:tblGrid>
      <w:tr>
        <w:trPr>
          <w:tblHeader w:val="true"/>
        </w:trPr>
        <w:tc>
          <w:tcPr>
            <w:tcW w:type="dxa" w:w="2400"/>
            <w:tcMar>
              <w:top w:w="100" w:type="dxa"/>
              <w:start w:w="140" w:type="dxa"/>
              <w:bottom w:w="100" w:type="dxa"/>
              <w:end w:w="140" w:type="dxa"/>
            </w:tcMar>
            <w:shd w:fill="762631"/>
            <w:vAlign w:val="center"/>
          </w:tcPr>
          <w:p>
            <w:r>
              <w:rPr>
                <w:rFonts w:ascii="Aptos" w:hAnsi="Aptos"/>
                <w:b/>
                <w:i w:val="0"/>
                <w:color w:val="FFFFFF"/>
                <w:sz w:val="18"/>
              </w:rPr>
              <w:t>Action</w:t>
            </w:r>
          </w:p>
        </w:tc>
        <w:tc>
          <w:tcPr>
            <w:tcW w:type="dxa" w:w="1800"/>
            <w:tcMar>
              <w:top w:w="100" w:type="dxa"/>
              <w:start w:w="140" w:type="dxa"/>
              <w:bottom w:w="100" w:type="dxa"/>
              <w:end w:w="140" w:type="dxa"/>
            </w:tcMar>
            <w:shd w:fill="762631"/>
            <w:vAlign w:val="center"/>
          </w:tcPr>
          <w:p>
            <w:r>
              <w:rPr>
                <w:rFonts w:ascii="Aptos" w:hAnsi="Aptos"/>
                <w:b/>
                <w:i w:val="0"/>
                <w:color w:val="FFFFFF"/>
                <w:sz w:val="18"/>
              </w:rPr>
              <w:t>By when</w:t>
            </w:r>
          </w:p>
        </w:tc>
        <w:tc>
          <w:tcPr>
            <w:tcW w:type="dxa" w:w="3260"/>
            <w:tcMar>
              <w:top w:w="100" w:type="dxa"/>
              <w:start w:w="140" w:type="dxa"/>
              <w:bottom w:w="100" w:type="dxa"/>
              <w:end w:w="140" w:type="dxa"/>
            </w:tcMar>
            <w:shd w:fill="762631"/>
            <w:vAlign w:val="center"/>
          </w:tcPr>
          <w:p>
            <w:r>
              <w:rPr>
                <w:rFonts w:ascii="Aptos" w:hAnsi="Aptos"/>
                <w:b/>
                <w:i w:val="0"/>
                <w:color w:val="FFFFFF"/>
                <w:sz w:val="18"/>
              </w:rPr>
              <w:t>Support or boundary</w:t>
            </w:r>
          </w:p>
        </w:tc>
        <w:tc>
          <w:tcPr>
            <w:tcW w:type="dxa" w:w="1900"/>
            <w:tcMar>
              <w:top w:w="100" w:type="dxa"/>
              <w:start w:w="140" w:type="dxa"/>
              <w:bottom w:w="100" w:type="dxa"/>
              <w:end w:w="140" w:type="dxa"/>
            </w:tcMar>
            <w:shd w:fill="762631"/>
            <w:vAlign w:val="center"/>
          </w:tcPr>
          <w:p>
            <w:r>
              <w:rPr>
                <w:rFonts w:ascii="Aptos" w:hAnsi="Aptos"/>
                <w:b/>
                <w:i w:val="0"/>
                <w:color w:val="FFFFFF"/>
                <w:sz w:val="18"/>
              </w:rPr>
              <w:t>Review date</w:t>
            </w:r>
          </w:p>
        </w:tc>
      </w:tr>
      <w:tr>
        <w:tc>
          <w:tcPr>
            <w:tcW w:type="dxa" w:w="2400"/>
            <w:vAlign w:val="center"/>
            <w:tcMar>
              <w:top w:w="100" w:type="dxa"/>
              <w:start w:w="140" w:type="dxa"/>
              <w:bottom w:w="100" w:type="dxa"/>
              <w:end w:w="140" w:type="dxa"/>
            </w:tcMar>
          </w:tcPr>
          <w:p>
            <w:r>
              <w:rPr>
                <w:rFonts w:ascii="Aptos" w:hAnsi="Aptos"/>
                <w:b w:val="0"/>
                <w:i w:val="0"/>
                <w:color w:val="2F292B"/>
                <w:sz w:val="18"/>
              </w:rPr>
            </w:r>
          </w:p>
        </w:tc>
        <w:tc>
          <w:tcPr>
            <w:tcW w:type="dxa" w:w="1800"/>
            <w:vAlign w:val="center"/>
            <w:tcMar>
              <w:top w:w="100" w:type="dxa"/>
              <w:start w:w="140" w:type="dxa"/>
              <w:bottom w:w="100" w:type="dxa"/>
              <w:end w:w="140" w:type="dxa"/>
            </w:tcMar>
          </w:tcPr>
          <w:p>
            <w:r>
              <w:rPr>
                <w:rFonts w:ascii="Aptos" w:hAnsi="Aptos"/>
                <w:b w:val="0"/>
                <w:i w:val="0"/>
                <w:color w:val="2F292B"/>
                <w:sz w:val="18"/>
              </w:rPr>
            </w:r>
          </w:p>
        </w:tc>
        <w:tc>
          <w:tcPr>
            <w:tcW w:type="dxa" w:w="3260"/>
            <w:vAlign w:val="center"/>
            <w:tcMar>
              <w:top w:w="100" w:type="dxa"/>
              <w:start w:w="140" w:type="dxa"/>
              <w:bottom w:w="100" w:type="dxa"/>
              <w:end w:w="140" w:type="dxa"/>
            </w:tcMar>
          </w:tcPr>
          <w:p>
            <w:r>
              <w:rPr>
                <w:rFonts w:ascii="Aptos" w:hAnsi="Aptos"/>
                <w:b w:val="0"/>
                <w:i w:val="0"/>
                <w:color w:val="2F292B"/>
                <w:sz w:val="18"/>
              </w:rPr>
            </w:r>
          </w:p>
        </w:tc>
        <w:tc>
          <w:tcPr>
            <w:tcW w:type="dxa" w:w="1900"/>
            <w:vAlign w:val="center"/>
            <w:tcMar>
              <w:top w:w="100" w:type="dxa"/>
              <w:start w:w="140" w:type="dxa"/>
              <w:bottom w:w="100" w:type="dxa"/>
              <w:end w:w="140" w:type="dxa"/>
            </w:tcMar>
          </w:tcPr>
          <w:p>
            <w:r>
              <w:rPr>
                <w:rFonts w:ascii="Aptos" w:hAnsi="Aptos"/>
                <w:b w:val="0"/>
                <w:i w:val="0"/>
                <w:color w:val="2F292B"/>
                <w:sz w:val="18"/>
              </w:rPr>
            </w:r>
          </w:p>
        </w:tc>
      </w:tr>
    </w:tbl>
    <w:p/>
    <w:p>
      <w:r>
        <w:br w:type="page"/>
      </w:r>
    </w:p>
    <w:p>
      <w:pPr>
        <w:pStyle w:val="Heading1"/>
      </w:pPr>
      <w:r>
        <w:t>Chapter 3 reflection</w:t>
      </w:r>
    </w:p>
    <w:p>
      <w:pPr>
        <w:pStyle w:val="Heading2"/>
      </w:pPr>
      <w:r>
        <w:t>Before listening</w:t>
      </w:r>
    </w:p>
    <w:p>
      <w:r>
        <w:rPr>
          <w:rFonts w:ascii="Aptos" w:hAnsi="Aptos"/>
          <w:b w:val="0"/>
          <w:i w:val="0"/>
          <w:color w:val="2F292B"/>
          <w:sz w:val="21"/>
        </w:rPr>
        <w:t>What is present in me as I begin: intellectually, emotionally, physically, relationally, professionally, and spiritually?</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Scripture</w:t>
      </w:r>
    </w:p>
    <w:p>
      <w:r>
        <w:rPr>
          <w:rFonts w:ascii="Aptos" w:hAnsi="Aptos"/>
          <w:b w:val="0"/>
          <w:i w:val="0"/>
          <w:color w:val="2F292B"/>
          <w:sz w:val="21"/>
        </w:rPr>
        <w:t>References named in this chapter:</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val="0"/>
          <w:i w:val="0"/>
          <w:color w:val="2F292B"/>
          <w:sz w:val="21"/>
        </w:rPr>
        <w:t>What the passage says in context:</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val="0"/>
          <w:i w:val="0"/>
          <w:color w:val="2F292B"/>
          <w:sz w:val="21"/>
        </w:rPr>
        <w:t>What I am considering, without presenting my interpretation as certainty:</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br w:type="page"/>
      </w:r>
    </w:p>
    <w:p>
      <w:pPr>
        <w:pStyle w:val="Heading1"/>
      </w:pPr>
      <w:r>
        <w:t>Chapter 3: recognize and reflect</w:t>
      </w:r>
    </w:p>
    <w:p>
      <w:pPr>
        <w:pStyle w:val="Heading2"/>
      </w:pPr>
      <w:r>
        <w:t>What sentence, image, tension, memory, or possibility stayed with me?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is observable fact or evidence?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belongs to my personal testimony or lived experience?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am I interpreting? What alternative interpretation also deserves consideration?</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emotion or embodied response may be giving me information?</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responsibility, relationship, boundary, or context must remain in view?</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br w:type="page"/>
      </w:r>
    </w:p>
    <w:p>
      <w:pPr>
        <w:pStyle w:val="Heading1"/>
      </w:pPr>
      <w:r>
        <w:t>Chapter 3: discern and respond</w:t>
      </w:r>
    </w:p>
    <w:p>
      <w:pPr>
        <w:pStyle w:val="Heading2"/>
      </w:pPr>
      <w:r>
        <w:t>What might I be spiritually discerning? How will I test it through Scripture, context, time, counsel, humility, and fruit?</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is not yet clear, and what permission can I give myself not to force?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one faithful, proportionate, ethical, and possible response can I take?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When will I review the fruit of that response?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Prayer</w:t>
      </w:r>
    </w:p>
    <w:p>
      <w:r>
        <w:rPr>
          <w:rFonts w:ascii="Aptos" w:hAnsi="Aptos"/>
          <w:b w:val="0"/>
          <w:i/>
          <w:color w:val="2F292B"/>
          <w:sz w:val="21"/>
        </w:rPr>
        <w:t>God of wisdom and truth, help me receive what is mine to receive, release what is not mine to carry, test what requires testing, and respond with humility, courage, love, and integrity. Guard the dignity and privacy of every person touched by my decisions. Give me patience where meaning is still maturing. Amen.</w:t>
      </w:r>
    </w:p>
    <w:p>
      <w:pPr>
        <w:pStyle w:val="Heading2"/>
      </w:pPr>
      <w:r>
        <w:t>Next-action record</w:t>
      </w:r>
    </w:p>
    <w:tbl>
      <w:tblPr>
        <w:tblStyle w:val="TableGrid"/>
        <w:tblW w:type="dxa" w:w="9360"/>
        <w:jc w:val="center"/>
        <w:tblLayout w:type="fixed"/>
        <w:tblLook w:firstColumn="1" w:firstRow="1" w:lastColumn="0" w:lastRow="0" w:noHBand="0" w:noVBand="1" w:val="04A0"/>
        <w:tblInd w:w="140" w:type="dxa"/>
      </w:tblPr>
      <w:tblGrid>
        <w:gridCol w:w="2400"/>
        <w:gridCol w:w="1800"/>
        <w:gridCol w:w="3260"/>
        <w:gridCol w:w="1900"/>
      </w:tblGrid>
      <w:tr>
        <w:trPr>
          <w:tblHeader w:val="true"/>
        </w:trPr>
        <w:tc>
          <w:tcPr>
            <w:tcW w:type="dxa" w:w="2400"/>
            <w:tcMar>
              <w:top w:w="100" w:type="dxa"/>
              <w:start w:w="140" w:type="dxa"/>
              <w:bottom w:w="100" w:type="dxa"/>
              <w:end w:w="140" w:type="dxa"/>
            </w:tcMar>
            <w:shd w:fill="762631"/>
            <w:vAlign w:val="center"/>
          </w:tcPr>
          <w:p>
            <w:r>
              <w:rPr>
                <w:rFonts w:ascii="Aptos" w:hAnsi="Aptos"/>
                <w:b/>
                <w:i w:val="0"/>
                <w:color w:val="FFFFFF"/>
                <w:sz w:val="18"/>
              </w:rPr>
              <w:t>Action</w:t>
            </w:r>
          </w:p>
        </w:tc>
        <w:tc>
          <w:tcPr>
            <w:tcW w:type="dxa" w:w="1800"/>
            <w:tcMar>
              <w:top w:w="100" w:type="dxa"/>
              <w:start w:w="140" w:type="dxa"/>
              <w:bottom w:w="100" w:type="dxa"/>
              <w:end w:w="140" w:type="dxa"/>
            </w:tcMar>
            <w:shd w:fill="762631"/>
            <w:vAlign w:val="center"/>
          </w:tcPr>
          <w:p>
            <w:r>
              <w:rPr>
                <w:rFonts w:ascii="Aptos" w:hAnsi="Aptos"/>
                <w:b/>
                <w:i w:val="0"/>
                <w:color w:val="FFFFFF"/>
                <w:sz w:val="18"/>
              </w:rPr>
              <w:t>By when</w:t>
            </w:r>
          </w:p>
        </w:tc>
        <w:tc>
          <w:tcPr>
            <w:tcW w:type="dxa" w:w="3260"/>
            <w:tcMar>
              <w:top w:w="100" w:type="dxa"/>
              <w:start w:w="140" w:type="dxa"/>
              <w:bottom w:w="100" w:type="dxa"/>
              <w:end w:w="140" w:type="dxa"/>
            </w:tcMar>
            <w:shd w:fill="762631"/>
            <w:vAlign w:val="center"/>
          </w:tcPr>
          <w:p>
            <w:r>
              <w:rPr>
                <w:rFonts w:ascii="Aptos" w:hAnsi="Aptos"/>
                <w:b/>
                <w:i w:val="0"/>
                <w:color w:val="FFFFFF"/>
                <w:sz w:val="18"/>
              </w:rPr>
              <w:t>Support or boundary</w:t>
            </w:r>
          </w:p>
        </w:tc>
        <w:tc>
          <w:tcPr>
            <w:tcW w:type="dxa" w:w="1900"/>
            <w:tcMar>
              <w:top w:w="100" w:type="dxa"/>
              <w:start w:w="140" w:type="dxa"/>
              <w:bottom w:w="100" w:type="dxa"/>
              <w:end w:w="140" w:type="dxa"/>
            </w:tcMar>
            <w:shd w:fill="762631"/>
            <w:vAlign w:val="center"/>
          </w:tcPr>
          <w:p>
            <w:r>
              <w:rPr>
                <w:rFonts w:ascii="Aptos" w:hAnsi="Aptos"/>
                <w:b/>
                <w:i w:val="0"/>
                <w:color w:val="FFFFFF"/>
                <w:sz w:val="18"/>
              </w:rPr>
              <w:t>Review date</w:t>
            </w:r>
          </w:p>
        </w:tc>
      </w:tr>
      <w:tr>
        <w:tc>
          <w:tcPr>
            <w:tcW w:type="dxa" w:w="2400"/>
            <w:vAlign w:val="center"/>
            <w:tcMar>
              <w:top w:w="100" w:type="dxa"/>
              <w:start w:w="140" w:type="dxa"/>
              <w:bottom w:w="100" w:type="dxa"/>
              <w:end w:w="140" w:type="dxa"/>
            </w:tcMar>
          </w:tcPr>
          <w:p>
            <w:r>
              <w:rPr>
                <w:rFonts w:ascii="Aptos" w:hAnsi="Aptos"/>
                <w:b w:val="0"/>
                <w:i w:val="0"/>
                <w:color w:val="2F292B"/>
                <w:sz w:val="18"/>
              </w:rPr>
            </w:r>
          </w:p>
        </w:tc>
        <w:tc>
          <w:tcPr>
            <w:tcW w:type="dxa" w:w="1800"/>
            <w:vAlign w:val="center"/>
            <w:tcMar>
              <w:top w:w="100" w:type="dxa"/>
              <w:start w:w="140" w:type="dxa"/>
              <w:bottom w:w="100" w:type="dxa"/>
              <w:end w:w="140" w:type="dxa"/>
            </w:tcMar>
          </w:tcPr>
          <w:p>
            <w:r>
              <w:rPr>
                <w:rFonts w:ascii="Aptos" w:hAnsi="Aptos"/>
                <w:b w:val="0"/>
                <w:i w:val="0"/>
                <w:color w:val="2F292B"/>
                <w:sz w:val="18"/>
              </w:rPr>
            </w:r>
          </w:p>
        </w:tc>
        <w:tc>
          <w:tcPr>
            <w:tcW w:type="dxa" w:w="3260"/>
            <w:vAlign w:val="center"/>
            <w:tcMar>
              <w:top w:w="100" w:type="dxa"/>
              <w:start w:w="140" w:type="dxa"/>
              <w:bottom w:w="100" w:type="dxa"/>
              <w:end w:w="140" w:type="dxa"/>
            </w:tcMar>
          </w:tcPr>
          <w:p>
            <w:r>
              <w:rPr>
                <w:rFonts w:ascii="Aptos" w:hAnsi="Aptos"/>
                <w:b w:val="0"/>
                <w:i w:val="0"/>
                <w:color w:val="2F292B"/>
                <w:sz w:val="18"/>
              </w:rPr>
            </w:r>
          </w:p>
        </w:tc>
        <w:tc>
          <w:tcPr>
            <w:tcW w:type="dxa" w:w="1900"/>
            <w:vAlign w:val="center"/>
            <w:tcMar>
              <w:top w:w="100" w:type="dxa"/>
              <w:start w:w="140" w:type="dxa"/>
              <w:bottom w:w="100" w:type="dxa"/>
              <w:end w:w="140" w:type="dxa"/>
            </w:tcMar>
          </w:tcPr>
          <w:p>
            <w:r>
              <w:rPr>
                <w:rFonts w:ascii="Aptos" w:hAnsi="Aptos"/>
                <w:b w:val="0"/>
                <w:i w:val="0"/>
                <w:color w:val="2F292B"/>
                <w:sz w:val="18"/>
              </w:rPr>
            </w:r>
          </w:p>
        </w:tc>
      </w:tr>
    </w:tbl>
    <w:p/>
    <w:p>
      <w:r>
        <w:br w:type="page"/>
      </w:r>
    </w:p>
    <w:p>
      <w:pPr>
        <w:pStyle w:val="Heading1"/>
      </w:pPr>
      <w:r>
        <w:t>Chapter 4 reflection</w:t>
      </w:r>
    </w:p>
    <w:p>
      <w:pPr>
        <w:pStyle w:val="Heading2"/>
      </w:pPr>
      <w:r>
        <w:t>Before listening</w:t>
      </w:r>
    </w:p>
    <w:p>
      <w:r>
        <w:rPr>
          <w:rFonts w:ascii="Aptos" w:hAnsi="Aptos"/>
          <w:b w:val="0"/>
          <w:i w:val="0"/>
          <w:color w:val="2F292B"/>
          <w:sz w:val="21"/>
        </w:rPr>
        <w:t>What is present in me as I begin: intellectually, emotionally, physically, relationally, professionally, and spiritually?</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Scripture</w:t>
      </w:r>
    </w:p>
    <w:p>
      <w:r>
        <w:rPr>
          <w:rFonts w:ascii="Aptos" w:hAnsi="Aptos"/>
          <w:b w:val="0"/>
          <w:i w:val="0"/>
          <w:color w:val="2F292B"/>
          <w:sz w:val="21"/>
        </w:rPr>
        <w:t>References named in this chapter:</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val="0"/>
          <w:i w:val="0"/>
          <w:color w:val="2F292B"/>
          <w:sz w:val="21"/>
        </w:rPr>
        <w:t>What the passage says in context:</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val="0"/>
          <w:i w:val="0"/>
          <w:color w:val="2F292B"/>
          <w:sz w:val="21"/>
        </w:rPr>
        <w:t>What I am considering, without presenting my interpretation as certainty:</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br w:type="page"/>
      </w:r>
    </w:p>
    <w:p>
      <w:pPr>
        <w:pStyle w:val="Heading1"/>
      </w:pPr>
      <w:r>
        <w:t>Chapter 4: recognize and reflect</w:t>
      </w:r>
    </w:p>
    <w:p>
      <w:pPr>
        <w:pStyle w:val="Heading2"/>
      </w:pPr>
      <w:r>
        <w:t>What sentence, image, tension, memory, or possibility stayed with me?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is observable fact or evidence?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belongs to my personal testimony or lived experience?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am I interpreting? What alternative interpretation also deserves consideration?</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emotion or embodied response may be giving me information?</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responsibility, relationship, boundary, or context must remain in view?</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br w:type="page"/>
      </w:r>
    </w:p>
    <w:p>
      <w:pPr>
        <w:pStyle w:val="Heading1"/>
      </w:pPr>
      <w:r>
        <w:t>Chapter 4: discern and respond</w:t>
      </w:r>
    </w:p>
    <w:p>
      <w:pPr>
        <w:pStyle w:val="Heading2"/>
      </w:pPr>
      <w:r>
        <w:t>What might I be spiritually discerning? How will I test it through Scripture, context, time, counsel, humility, and fruit?</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is not yet clear, and what permission can I give myself not to force?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one faithful, proportionate, ethical, and possible response can I take?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When will I review the fruit of that response?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Prayer</w:t>
      </w:r>
    </w:p>
    <w:p>
      <w:r>
        <w:rPr>
          <w:rFonts w:ascii="Aptos" w:hAnsi="Aptos"/>
          <w:b w:val="0"/>
          <w:i/>
          <w:color w:val="2F292B"/>
          <w:sz w:val="21"/>
        </w:rPr>
        <w:t>God of wisdom and truth, help me receive what is mine to receive, release what is not mine to carry, test what requires testing, and respond with humility, courage, love, and integrity. Guard the dignity and privacy of every person touched by my decisions. Give me patience where meaning is still maturing. Amen.</w:t>
      </w:r>
    </w:p>
    <w:p>
      <w:pPr>
        <w:pStyle w:val="Heading2"/>
      </w:pPr>
      <w:r>
        <w:t>Next-action record</w:t>
      </w:r>
    </w:p>
    <w:tbl>
      <w:tblPr>
        <w:tblStyle w:val="TableGrid"/>
        <w:tblW w:type="dxa" w:w="9360"/>
        <w:jc w:val="center"/>
        <w:tblLayout w:type="fixed"/>
        <w:tblLook w:firstColumn="1" w:firstRow="1" w:lastColumn="0" w:lastRow="0" w:noHBand="0" w:noVBand="1" w:val="04A0"/>
        <w:tblInd w:w="140" w:type="dxa"/>
      </w:tblPr>
      <w:tblGrid>
        <w:gridCol w:w="2400"/>
        <w:gridCol w:w="1800"/>
        <w:gridCol w:w="3260"/>
        <w:gridCol w:w="1900"/>
      </w:tblGrid>
      <w:tr>
        <w:trPr>
          <w:tblHeader w:val="true"/>
        </w:trPr>
        <w:tc>
          <w:tcPr>
            <w:tcW w:type="dxa" w:w="2400"/>
            <w:tcMar>
              <w:top w:w="100" w:type="dxa"/>
              <w:start w:w="140" w:type="dxa"/>
              <w:bottom w:w="100" w:type="dxa"/>
              <w:end w:w="140" w:type="dxa"/>
            </w:tcMar>
            <w:shd w:fill="762631"/>
            <w:vAlign w:val="center"/>
          </w:tcPr>
          <w:p>
            <w:r>
              <w:rPr>
                <w:rFonts w:ascii="Aptos" w:hAnsi="Aptos"/>
                <w:b/>
                <w:i w:val="0"/>
                <w:color w:val="FFFFFF"/>
                <w:sz w:val="18"/>
              </w:rPr>
              <w:t>Action</w:t>
            </w:r>
          </w:p>
        </w:tc>
        <w:tc>
          <w:tcPr>
            <w:tcW w:type="dxa" w:w="1800"/>
            <w:tcMar>
              <w:top w:w="100" w:type="dxa"/>
              <w:start w:w="140" w:type="dxa"/>
              <w:bottom w:w="100" w:type="dxa"/>
              <w:end w:w="140" w:type="dxa"/>
            </w:tcMar>
            <w:shd w:fill="762631"/>
            <w:vAlign w:val="center"/>
          </w:tcPr>
          <w:p>
            <w:r>
              <w:rPr>
                <w:rFonts w:ascii="Aptos" w:hAnsi="Aptos"/>
                <w:b/>
                <w:i w:val="0"/>
                <w:color w:val="FFFFFF"/>
                <w:sz w:val="18"/>
              </w:rPr>
              <w:t>By when</w:t>
            </w:r>
          </w:p>
        </w:tc>
        <w:tc>
          <w:tcPr>
            <w:tcW w:type="dxa" w:w="3260"/>
            <w:tcMar>
              <w:top w:w="100" w:type="dxa"/>
              <w:start w:w="140" w:type="dxa"/>
              <w:bottom w:w="100" w:type="dxa"/>
              <w:end w:w="140" w:type="dxa"/>
            </w:tcMar>
            <w:shd w:fill="762631"/>
            <w:vAlign w:val="center"/>
          </w:tcPr>
          <w:p>
            <w:r>
              <w:rPr>
                <w:rFonts w:ascii="Aptos" w:hAnsi="Aptos"/>
                <w:b/>
                <w:i w:val="0"/>
                <w:color w:val="FFFFFF"/>
                <w:sz w:val="18"/>
              </w:rPr>
              <w:t>Support or boundary</w:t>
            </w:r>
          </w:p>
        </w:tc>
        <w:tc>
          <w:tcPr>
            <w:tcW w:type="dxa" w:w="1900"/>
            <w:tcMar>
              <w:top w:w="100" w:type="dxa"/>
              <w:start w:w="140" w:type="dxa"/>
              <w:bottom w:w="100" w:type="dxa"/>
              <w:end w:w="140" w:type="dxa"/>
            </w:tcMar>
            <w:shd w:fill="762631"/>
            <w:vAlign w:val="center"/>
          </w:tcPr>
          <w:p>
            <w:r>
              <w:rPr>
                <w:rFonts w:ascii="Aptos" w:hAnsi="Aptos"/>
                <w:b/>
                <w:i w:val="0"/>
                <w:color w:val="FFFFFF"/>
                <w:sz w:val="18"/>
              </w:rPr>
              <w:t>Review date</w:t>
            </w:r>
          </w:p>
        </w:tc>
      </w:tr>
      <w:tr>
        <w:tc>
          <w:tcPr>
            <w:tcW w:type="dxa" w:w="2400"/>
            <w:vAlign w:val="center"/>
            <w:tcMar>
              <w:top w:w="100" w:type="dxa"/>
              <w:start w:w="140" w:type="dxa"/>
              <w:bottom w:w="100" w:type="dxa"/>
              <w:end w:w="140" w:type="dxa"/>
            </w:tcMar>
          </w:tcPr>
          <w:p>
            <w:r>
              <w:rPr>
                <w:rFonts w:ascii="Aptos" w:hAnsi="Aptos"/>
                <w:b w:val="0"/>
                <w:i w:val="0"/>
                <w:color w:val="2F292B"/>
                <w:sz w:val="18"/>
              </w:rPr>
            </w:r>
          </w:p>
        </w:tc>
        <w:tc>
          <w:tcPr>
            <w:tcW w:type="dxa" w:w="1800"/>
            <w:vAlign w:val="center"/>
            <w:tcMar>
              <w:top w:w="100" w:type="dxa"/>
              <w:start w:w="140" w:type="dxa"/>
              <w:bottom w:w="100" w:type="dxa"/>
              <w:end w:w="140" w:type="dxa"/>
            </w:tcMar>
          </w:tcPr>
          <w:p>
            <w:r>
              <w:rPr>
                <w:rFonts w:ascii="Aptos" w:hAnsi="Aptos"/>
                <w:b w:val="0"/>
                <w:i w:val="0"/>
                <w:color w:val="2F292B"/>
                <w:sz w:val="18"/>
              </w:rPr>
            </w:r>
          </w:p>
        </w:tc>
        <w:tc>
          <w:tcPr>
            <w:tcW w:type="dxa" w:w="3260"/>
            <w:vAlign w:val="center"/>
            <w:tcMar>
              <w:top w:w="100" w:type="dxa"/>
              <w:start w:w="140" w:type="dxa"/>
              <w:bottom w:w="100" w:type="dxa"/>
              <w:end w:w="140" w:type="dxa"/>
            </w:tcMar>
          </w:tcPr>
          <w:p>
            <w:r>
              <w:rPr>
                <w:rFonts w:ascii="Aptos" w:hAnsi="Aptos"/>
                <w:b w:val="0"/>
                <w:i w:val="0"/>
                <w:color w:val="2F292B"/>
                <w:sz w:val="18"/>
              </w:rPr>
            </w:r>
          </w:p>
        </w:tc>
        <w:tc>
          <w:tcPr>
            <w:tcW w:type="dxa" w:w="1900"/>
            <w:vAlign w:val="center"/>
            <w:tcMar>
              <w:top w:w="100" w:type="dxa"/>
              <w:start w:w="140" w:type="dxa"/>
              <w:bottom w:w="100" w:type="dxa"/>
              <w:end w:w="140" w:type="dxa"/>
            </w:tcMar>
          </w:tcPr>
          <w:p>
            <w:r>
              <w:rPr>
                <w:rFonts w:ascii="Aptos" w:hAnsi="Aptos"/>
                <w:b w:val="0"/>
                <w:i w:val="0"/>
                <w:color w:val="2F292B"/>
                <w:sz w:val="18"/>
              </w:rPr>
            </w:r>
          </w:p>
        </w:tc>
      </w:tr>
    </w:tbl>
    <w:p/>
    <w:p>
      <w:r>
        <w:br w:type="page"/>
      </w:r>
    </w:p>
    <w:p>
      <w:pPr>
        <w:pStyle w:val="Heading1"/>
      </w:pPr>
      <w:r>
        <w:t>Chapter 5 reflection</w:t>
      </w:r>
    </w:p>
    <w:p>
      <w:pPr>
        <w:pStyle w:val="Heading2"/>
      </w:pPr>
      <w:r>
        <w:t>Before listening</w:t>
      </w:r>
    </w:p>
    <w:p>
      <w:r>
        <w:rPr>
          <w:rFonts w:ascii="Aptos" w:hAnsi="Aptos"/>
          <w:b w:val="0"/>
          <w:i w:val="0"/>
          <w:color w:val="2F292B"/>
          <w:sz w:val="21"/>
        </w:rPr>
        <w:t>What is present in me as I begin: intellectually, emotionally, physically, relationally, professionally, and spiritually?</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Scripture</w:t>
      </w:r>
    </w:p>
    <w:p>
      <w:r>
        <w:rPr>
          <w:rFonts w:ascii="Aptos" w:hAnsi="Aptos"/>
          <w:b w:val="0"/>
          <w:i w:val="0"/>
          <w:color w:val="2F292B"/>
          <w:sz w:val="21"/>
        </w:rPr>
        <w:t>References named in this chapter:</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val="0"/>
          <w:i w:val="0"/>
          <w:color w:val="2F292B"/>
          <w:sz w:val="21"/>
        </w:rPr>
        <w:t>What the passage says in context:</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val="0"/>
          <w:i w:val="0"/>
          <w:color w:val="2F292B"/>
          <w:sz w:val="21"/>
        </w:rPr>
        <w:t>What I am considering, without presenting my interpretation as certainty:</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br w:type="page"/>
      </w:r>
    </w:p>
    <w:p>
      <w:pPr>
        <w:pStyle w:val="Heading1"/>
      </w:pPr>
      <w:r>
        <w:t>Chapter 5: recognize and reflect</w:t>
      </w:r>
    </w:p>
    <w:p>
      <w:pPr>
        <w:pStyle w:val="Heading2"/>
      </w:pPr>
      <w:r>
        <w:t>What sentence, image, tension, memory, or possibility stayed with me?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is observable fact or evidence?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belongs to my personal testimony or lived experience?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am I interpreting? What alternative interpretation also deserves consideration?</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emotion or embodied response may be giving me information?</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responsibility, relationship, boundary, or context must remain in view?</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br w:type="page"/>
      </w:r>
    </w:p>
    <w:p>
      <w:pPr>
        <w:pStyle w:val="Heading1"/>
      </w:pPr>
      <w:r>
        <w:t>Chapter 5: discern and respond</w:t>
      </w:r>
    </w:p>
    <w:p>
      <w:pPr>
        <w:pStyle w:val="Heading2"/>
      </w:pPr>
      <w:r>
        <w:t>What might I be spiritually discerning? How will I test it through Scripture, context, time, counsel, humility, and fruit?</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is not yet clear, and what permission can I give myself not to force?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one faithful, proportionate, ethical, and possible response can I take?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When will I review the fruit of that response?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Prayer</w:t>
      </w:r>
    </w:p>
    <w:p>
      <w:r>
        <w:rPr>
          <w:rFonts w:ascii="Aptos" w:hAnsi="Aptos"/>
          <w:b w:val="0"/>
          <w:i/>
          <w:color w:val="2F292B"/>
          <w:sz w:val="21"/>
        </w:rPr>
        <w:t>God of wisdom and truth, help me receive what is mine to receive, release what is not mine to carry, test what requires testing, and respond with humility, courage, love, and integrity. Guard the dignity and privacy of every person touched by my decisions. Give me patience where meaning is still maturing. Amen.</w:t>
      </w:r>
    </w:p>
    <w:p>
      <w:pPr>
        <w:pStyle w:val="Heading2"/>
      </w:pPr>
      <w:r>
        <w:t>Next-action record</w:t>
      </w:r>
    </w:p>
    <w:tbl>
      <w:tblPr>
        <w:tblStyle w:val="TableGrid"/>
        <w:tblW w:type="dxa" w:w="9360"/>
        <w:jc w:val="center"/>
        <w:tblLayout w:type="fixed"/>
        <w:tblLook w:firstColumn="1" w:firstRow="1" w:lastColumn="0" w:lastRow="0" w:noHBand="0" w:noVBand="1" w:val="04A0"/>
        <w:tblInd w:w="140" w:type="dxa"/>
      </w:tblPr>
      <w:tblGrid>
        <w:gridCol w:w="2400"/>
        <w:gridCol w:w="1800"/>
        <w:gridCol w:w="3260"/>
        <w:gridCol w:w="1900"/>
      </w:tblGrid>
      <w:tr>
        <w:trPr>
          <w:tblHeader w:val="true"/>
        </w:trPr>
        <w:tc>
          <w:tcPr>
            <w:tcW w:type="dxa" w:w="2400"/>
            <w:tcMar>
              <w:top w:w="100" w:type="dxa"/>
              <w:start w:w="140" w:type="dxa"/>
              <w:bottom w:w="100" w:type="dxa"/>
              <w:end w:w="140" w:type="dxa"/>
            </w:tcMar>
            <w:shd w:fill="762631"/>
            <w:vAlign w:val="center"/>
          </w:tcPr>
          <w:p>
            <w:r>
              <w:rPr>
                <w:rFonts w:ascii="Aptos" w:hAnsi="Aptos"/>
                <w:b/>
                <w:i w:val="0"/>
                <w:color w:val="FFFFFF"/>
                <w:sz w:val="18"/>
              </w:rPr>
              <w:t>Action</w:t>
            </w:r>
          </w:p>
        </w:tc>
        <w:tc>
          <w:tcPr>
            <w:tcW w:type="dxa" w:w="1800"/>
            <w:tcMar>
              <w:top w:w="100" w:type="dxa"/>
              <w:start w:w="140" w:type="dxa"/>
              <w:bottom w:w="100" w:type="dxa"/>
              <w:end w:w="140" w:type="dxa"/>
            </w:tcMar>
            <w:shd w:fill="762631"/>
            <w:vAlign w:val="center"/>
          </w:tcPr>
          <w:p>
            <w:r>
              <w:rPr>
                <w:rFonts w:ascii="Aptos" w:hAnsi="Aptos"/>
                <w:b/>
                <w:i w:val="0"/>
                <w:color w:val="FFFFFF"/>
                <w:sz w:val="18"/>
              </w:rPr>
              <w:t>By when</w:t>
            </w:r>
          </w:p>
        </w:tc>
        <w:tc>
          <w:tcPr>
            <w:tcW w:type="dxa" w:w="3260"/>
            <w:tcMar>
              <w:top w:w="100" w:type="dxa"/>
              <w:start w:w="140" w:type="dxa"/>
              <w:bottom w:w="100" w:type="dxa"/>
              <w:end w:w="140" w:type="dxa"/>
            </w:tcMar>
            <w:shd w:fill="762631"/>
            <w:vAlign w:val="center"/>
          </w:tcPr>
          <w:p>
            <w:r>
              <w:rPr>
                <w:rFonts w:ascii="Aptos" w:hAnsi="Aptos"/>
                <w:b/>
                <w:i w:val="0"/>
                <w:color w:val="FFFFFF"/>
                <w:sz w:val="18"/>
              </w:rPr>
              <w:t>Support or boundary</w:t>
            </w:r>
          </w:p>
        </w:tc>
        <w:tc>
          <w:tcPr>
            <w:tcW w:type="dxa" w:w="1900"/>
            <w:tcMar>
              <w:top w:w="100" w:type="dxa"/>
              <w:start w:w="140" w:type="dxa"/>
              <w:bottom w:w="100" w:type="dxa"/>
              <w:end w:w="140" w:type="dxa"/>
            </w:tcMar>
            <w:shd w:fill="762631"/>
            <w:vAlign w:val="center"/>
          </w:tcPr>
          <w:p>
            <w:r>
              <w:rPr>
                <w:rFonts w:ascii="Aptos" w:hAnsi="Aptos"/>
                <w:b/>
                <w:i w:val="0"/>
                <w:color w:val="FFFFFF"/>
                <w:sz w:val="18"/>
              </w:rPr>
              <w:t>Review date</w:t>
            </w:r>
          </w:p>
        </w:tc>
      </w:tr>
      <w:tr>
        <w:tc>
          <w:tcPr>
            <w:tcW w:type="dxa" w:w="2400"/>
            <w:vAlign w:val="center"/>
            <w:tcMar>
              <w:top w:w="100" w:type="dxa"/>
              <w:start w:w="140" w:type="dxa"/>
              <w:bottom w:w="100" w:type="dxa"/>
              <w:end w:w="140" w:type="dxa"/>
            </w:tcMar>
          </w:tcPr>
          <w:p>
            <w:r>
              <w:rPr>
                <w:rFonts w:ascii="Aptos" w:hAnsi="Aptos"/>
                <w:b w:val="0"/>
                <w:i w:val="0"/>
                <w:color w:val="2F292B"/>
                <w:sz w:val="18"/>
              </w:rPr>
            </w:r>
          </w:p>
        </w:tc>
        <w:tc>
          <w:tcPr>
            <w:tcW w:type="dxa" w:w="1800"/>
            <w:vAlign w:val="center"/>
            <w:tcMar>
              <w:top w:w="100" w:type="dxa"/>
              <w:start w:w="140" w:type="dxa"/>
              <w:bottom w:w="100" w:type="dxa"/>
              <w:end w:w="140" w:type="dxa"/>
            </w:tcMar>
          </w:tcPr>
          <w:p>
            <w:r>
              <w:rPr>
                <w:rFonts w:ascii="Aptos" w:hAnsi="Aptos"/>
                <w:b w:val="0"/>
                <w:i w:val="0"/>
                <w:color w:val="2F292B"/>
                <w:sz w:val="18"/>
              </w:rPr>
            </w:r>
          </w:p>
        </w:tc>
        <w:tc>
          <w:tcPr>
            <w:tcW w:type="dxa" w:w="3260"/>
            <w:vAlign w:val="center"/>
            <w:tcMar>
              <w:top w:w="100" w:type="dxa"/>
              <w:start w:w="140" w:type="dxa"/>
              <w:bottom w:w="100" w:type="dxa"/>
              <w:end w:w="140" w:type="dxa"/>
            </w:tcMar>
          </w:tcPr>
          <w:p>
            <w:r>
              <w:rPr>
                <w:rFonts w:ascii="Aptos" w:hAnsi="Aptos"/>
                <w:b w:val="0"/>
                <w:i w:val="0"/>
                <w:color w:val="2F292B"/>
                <w:sz w:val="18"/>
              </w:rPr>
            </w:r>
          </w:p>
        </w:tc>
        <w:tc>
          <w:tcPr>
            <w:tcW w:type="dxa" w:w="1900"/>
            <w:vAlign w:val="center"/>
            <w:tcMar>
              <w:top w:w="100" w:type="dxa"/>
              <w:start w:w="140" w:type="dxa"/>
              <w:bottom w:w="100" w:type="dxa"/>
              <w:end w:w="140" w:type="dxa"/>
            </w:tcMar>
          </w:tcPr>
          <w:p>
            <w:r>
              <w:rPr>
                <w:rFonts w:ascii="Aptos" w:hAnsi="Aptos"/>
                <w:b w:val="0"/>
                <w:i w:val="0"/>
                <w:color w:val="2F292B"/>
                <w:sz w:val="18"/>
              </w:rPr>
            </w:r>
          </w:p>
        </w:tc>
      </w:tr>
    </w:tbl>
    <w:p/>
    <w:p>
      <w:r>
        <w:br w:type="page"/>
      </w:r>
    </w:p>
    <w:p>
      <w:pPr>
        <w:pStyle w:val="Heading1"/>
      </w:pPr>
      <w:r>
        <w:t>Chapter 6 reflection</w:t>
      </w:r>
    </w:p>
    <w:p>
      <w:pPr>
        <w:pStyle w:val="Heading2"/>
      </w:pPr>
      <w:r>
        <w:t>Before listening</w:t>
      </w:r>
    </w:p>
    <w:p>
      <w:r>
        <w:rPr>
          <w:rFonts w:ascii="Aptos" w:hAnsi="Aptos"/>
          <w:b w:val="0"/>
          <w:i w:val="0"/>
          <w:color w:val="2F292B"/>
          <w:sz w:val="21"/>
        </w:rPr>
        <w:t>What is present in me as I begin: intellectually, emotionally, physically, relationally, professionally, and spiritually?</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Scripture</w:t>
      </w:r>
    </w:p>
    <w:p>
      <w:r>
        <w:rPr>
          <w:rFonts w:ascii="Aptos" w:hAnsi="Aptos"/>
          <w:b w:val="0"/>
          <w:i w:val="0"/>
          <w:color w:val="2F292B"/>
          <w:sz w:val="21"/>
        </w:rPr>
        <w:t>References named in this chapter:</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val="0"/>
          <w:i w:val="0"/>
          <w:color w:val="2F292B"/>
          <w:sz w:val="21"/>
        </w:rPr>
        <w:t>What the passage says in context:</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val="0"/>
          <w:i w:val="0"/>
          <w:color w:val="2F292B"/>
          <w:sz w:val="21"/>
        </w:rPr>
        <w:t>What I am considering, without presenting my interpretation as certainty:</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br w:type="page"/>
      </w:r>
    </w:p>
    <w:p>
      <w:pPr>
        <w:pStyle w:val="Heading1"/>
      </w:pPr>
      <w:r>
        <w:t>Chapter 6: recognize and reflect</w:t>
      </w:r>
    </w:p>
    <w:p>
      <w:pPr>
        <w:pStyle w:val="Heading2"/>
      </w:pPr>
      <w:r>
        <w:t>What sentence, image, tension, memory, or possibility stayed with me?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is observable fact or evidence?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belongs to my personal testimony or lived experience?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am I interpreting? What alternative interpretation also deserves consideration?</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emotion or embodied response may be giving me information?</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responsibility, relationship, boundary, or context must remain in view?</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br w:type="page"/>
      </w:r>
    </w:p>
    <w:p>
      <w:pPr>
        <w:pStyle w:val="Heading1"/>
      </w:pPr>
      <w:r>
        <w:t>Chapter 6: discern and respond</w:t>
      </w:r>
    </w:p>
    <w:p>
      <w:pPr>
        <w:pStyle w:val="Heading2"/>
      </w:pPr>
      <w:r>
        <w:t>What might I be spiritually discerning? How will I test it through Scripture, context, time, counsel, humility, and fruit?</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is not yet clear, and what permission can I give myself not to force?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one faithful, proportionate, ethical, and possible response can I take?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When will I review the fruit of that response?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Prayer</w:t>
      </w:r>
    </w:p>
    <w:p>
      <w:r>
        <w:rPr>
          <w:rFonts w:ascii="Aptos" w:hAnsi="Aptos"/>
          <w:b w:val="0"/>
          <w:i/>
          <w:color w:val="2F292B"/>
          <w:sz w:val="21"/>
        </w:rPr>
        <w:t>God of wisdom and truth, help me receive what is mine to receive, release what is not mine to carry, test what requires testing, and respond with humility, courage, love, and integrity. Guard the dignity and privacy of every person touched by my decisions. Give me patience where meaning is still maturing. Amen.</w:t>
      </w:r>
    </w:p>
    <w:p>
      <w:pPr>
        <w:pStyle w:val="Heading2"/>
      </w:pPr>
      <w:r>
        <w:t>Next-action record</w:t>
      </w:r>
    </w:p>
    <w:tbl>
      <w:tblPr>
        <w:tblStyle w:val="TableGrid"/>
        <w:tblW w:type="dxa" w:w="9360"/>
        <w:jc w:val="center"/>
        <w:tblLayout w:type="fixed"/>
        <w:tblLook w:firstColumn="1" w:firstRow="1" w:lastColumn="0" w:lastRow="0" w:noHBand="0" w:noVBand="1" w:val="04A0"/>
        <w:tblInd w:w="140" w:type="dxa"/>
      </w:tblPr>
      <w:tblGrid>
        <w:gridCol w:w="2400"/>
        <w:gridCol w:w="1800"/>
        <w:gridCol w:w="3260"/>
        <w:gridCol w:w="1900"/>
      </w:tblGrid>
      <w:tr>
        <w:trPr>
          <w:tblHeader w:val="true"/>
        </w:trPr>
        <w:tc>
          <w:tcPr>
            <w:tcW w:type="dxa" w:w="2400"/>
            <w:tcMar>
              <w:top w:w="100" w:type="dxa"/>
              <w:start w:w="140" w:type="dxa"/>
              <w:bottom w:w="100" w:type="dxa"/>
              <w:end w:w="140" w:type="dxa"/>
            </w:tcMar>
            <w:shd w:fill="762631"/>
            <w:vAlign w:val="center"/>
          </w:tcPr>
          <w:p>
            <w:r>
              <w:rPr>
                <w:rFonts w:ascii="Aptos" w:hAnsi="Aptos"/>
                <w:b/>
                <w:i w:val="0"/>
                <w:color w:val="FFFFFF"/>
                <w:sz w:val="18"/>
              </w:rPr>
              <w:t>Action</w:t>
            </w:r>
          </w:p>
        </w:tc>
        <w:tc>
          <w:tcPr>
            <w:tcW w:type="dxa" w:w="1800"/>
            <w:tcMar>
              <w:top w:w="100" w:type="dxa"/>
              <w:start w:w="140" w:type="dxa"/>
              <w:bottom w:w="100" w:type="dxa"/>
              <w:end w:w="140" w:type="dxa"/>
            </w:tcMar>
            <w:shd w:fill="762631"/>
            <w:vAlign w:val="center"/>
          </w:tcPr>
          <w:p>
            <w:r>
              <w:rPr>
                <w:rFonts w:ascii="Aptos" w:hAnsi="Aptos"/>
                <w:b/>
                <w:i w:val="0"/>
                <w:color w:val="FFFFFF"/>
                <w:sz w:val="18"/>
              </w:rPr>
              <w:t>By when</w:t>
            </w:r>
          </w:p>
        </w:tc>
        <w:tc>
          <w:tcPr>
            <w:tcW w:type="dxa" w:w="3260"/>
            <w:tcMar>
              <w:top w:w="100" w:type="dxa"/>
              <w:start w:w="140" w:type="dxa"/>
              <w:bottom w:w="100" w:type="dxa"/>
              <w:end w:w="140" w:type="dxa"/>
            </w:tcMar>
            <w:shd w:fill="762631"/>
            <w:vAlign w:val="center"/>
          </w:tcPr>
          <w:p>
            <w:r>
              <w:rPr>
                <w:rFonts w:ascii="Aptos" w:hAnsi="Aptos"/>
                <w:b/>
                <w:i w:val="0"/>
                <w:color w:val="FFFFFF"/>
                <w:sz w:val="18"/>
              </w:rPr>
              <w:t>Support or boundary</w:t>
            </w:r>
          </w:p>
        </w:tc>
        <w:tc>
          <w:tcPr>
            <w:tcW w:type="dxa" w:w="1900"/>
            <w:tcMar>
              <w:top w:w="100" w:type="dxa"/>
              <w:start w:w="140" w:type="dxa"/>
              <w:bottom w:w="100" w:type="dxa"/>
              <w:end w:w="140" w:type="dxa"/>
            </w:tcMar>
            <w:shd w:fill="762631"/>
            <w:vAlign w:val="center"/>
          </w:tcPr>
          <w:p>
            <w:r>
              <w:rPr>
                <w:rFonts w:ascii="Aptos" w:hAnsi="Aptos"/>
                <w:b/>
                <w:i w:val="0"/>
                <w:color w:val="FFFFFF"/>
                <w:sz w:val="18"/>
              </w:rPr>
              <w:t>Review date</w:t>
            </w:r>
          </w:p>
        </w:tc>
      </w:tr>
      <w:tr>
        <w:tc>
          <w:tcPr>
            <w:tcW w:type="dxa" w:w="2400"/>
            <w:vAlign w:val="center"/>
            <w:tcMar>
              <w:top w:w="100" w:type="dxa"/>
              <w:start w:w="140" w:type="dxa"/>
              <w:bottom w:w="100" w:type="dxa"/>
              <w:end w:w="140" w:type="dxa"/>
            </w:tcMar>
          </w:tcPr>
          <w:p>
            <w:r>
              <w:rPr>
                <w:rFonts w:ascii="Aptos" w:hAnsi="Aptos"/>
                <w:b w:val="0"/>
                <w:i w:val="0"/>
                <w:color w:val="2F292B"/>
                <w:sz w:val="18"/>
              </w:rPr>
            </w:r>
          </w:p>
        </w:tc>
        <w:tc>
          <w:tcPr>
            <w:tcW w:type="dxa" w:w="1800"/>
            <w:vAlign w:val="center"/>
            <w:tcMar>
              <w:top w:w="100" w:type="dxa"/>
              <w:start w:w="140" w:type="dxa"/>
              <w:bottom w:w="100" w:type="dxa"/>
              <w:end w:w="140" w:type="dxa"/>
            </w:tcMar>
          </w:tcPr>
          <w:p>
            <w:r>
              <w:rPr>
                <w:rFonts w:ascii="Aptos" w:hAnsi="Aptos"/>
                <w:b w:val="0"/>
                <w:i w:val="0"/>
                <w:color w:val="2F292B"/>
                <w:sz w:val="18"/>
              </w:rPr>
            </w:r>
          </w:p>
        </w:tc>
        <w:tc>
          <w:tcPr>
            <w:tcW w:type="dxa" w:w="3260"/>
            <w:vAlign w:val="center"/>
            <w:tcMar>
              <w:top w:w="100" w:type="dxa"/>
              <w:start w:w="140" w:type="dxa"/>
              <w:bottom w:w="100" w:type="dxa"/>
              <w:end w:w="140" w:type="dxa"/>
            </w:tcMar>
          </w:tcPr>
          <w:p>
            <w:r>
              <w:rPr>
                <w:rFonts w:ascii="Aptos" w:hAnsi="Aptos"/>
                <w:b w:val="0"/>
                <w:i w:val="0"/>
                <w:color w:val="2F292B"/>
                <w:sz w:val="18"/>
              </w:rPr>
            </w:r>
          </w:p>
        </w:tc>
        <w:tc>
          <w:tcPr>
            <w:tcW w:type="dxa" w:w="1900"/>
            <w:vAlign w:val="center"/>
            <w:tcMar>
              <w:top w:w="100" w:type="dxa"/>
              <w:start w:w="140" w:type="dxa"/>
              <w:bottom w:w="100" w:type="dxa"/>
              <w:end w:w="140" w:type="dxa"/>
            </w:tcMar>
          </w:tcPr>
          <w:p>
            <w:r>
              <w:rPr>
                <w:rFonts w:ascii="Aptos" w:hAnsi="Aptos"/>
                <w:b w:val="0"/>
                <w:i w:val="0"/>
                <w:color w:val="2F292B"/>
                <w:sz w:val="18"/>
              </w:rPr>
            </w:r>
          </w:p>
        </w:tc>
      </w:tr>
    </w:tbl>
    <w:p/>
    <w:p>
      <w:r>
        <w:br w:type="page"/>
      </w:r>
    </w:p>
    <w:p>
      <w:pPr>
        <w:pStyle w:val="Heading1"/>
      </w:pPr>
      <w:r>
        <w:t>Pathway exercise: choose the present doorway</w:t>
      </w:r>
    </w:p>
    <w:tbl>
      <w:tblPr>
        <w:tblStyle w:val="TableGrid"/>
        <w:tblW w:type="dxa" w:w="9360"/>
        <w:jc w:val="center"/>
        <w:tblLayout w:type="fixed"/>
        <w:tblLook w:firstColumn="1" w:firstRow="1" w:lastColumn="0" w:lastRow="0" w:noHBand="0" w:noVBand="1" w:val="04A0"/>
        <w:tblInd w:w="140" w:type="dxa"/>
      </w:tblPr>
      <w:tblGrid>
        <w:gridCol w:w="2300"/>
        <w:gridCol w:w="5310"/>
        <w:gridCol w:w="1750"/>
      </w:tblGrid>
      <w:tr>
        <w:trPr>
          <w:tblHeader w:val="true"/>
        </w:trPr>
        <w:tc>
          <w:tcPr>
            <w:tcW w:type="dxa" w:w="2300"/>
            <w:tcMar>
              <w:top w:w="100" w:type="dxa"/>
              <w:start w:w="140" w:type="dxa"/>
              <w:bottom w:w="100" w:type="dxa"/>
              <w:end w:w="140" w:type="dxa"/>
            </w:tcMar>
            <w:shd w:fill="762631"/>
            <w:vAlign w:val="center"/>
          </w:tcPr>
          <w:p>
            <w:r>
              <w:rPr>
                <w:rFonts w:ascii="Aptos" w:hAnsi="Aptos"/>
                <w:b/>
                <w:i w:val="0"/>
                <w:color w:val="FFFFFF"/>
                <w:sz w:val="18"/>
              </w:rPr>
              <w:t>Pathway</w:t>
            </w:r>
          </w:p>
        </w:tc>
        <w:tc>
          <w:tcPr>
            <w:tcW w:type="dxa" w:w="5310"/>
            <w:tcMar>
              <w:top w:w="100" w:type="dxa"/>
              <w:start w:w="140" w:type="dxa"/>
              <w:bottom w:w="100" w:type="dxa"/>
              <w:end w:w="140" w:type="dxa"/>
            </w:tcMar>
            <w:shd w:fill="762631"/>
            <w:vAlign w:val="center"/>
          </w:tcPr>
          <w:p>
            <w:r>
              <w:rPr>
                <w:rFonts w:ascii="Aptos" w:hAnsi="Aptos"/>
                <w:b/>
                <w:i w:val="0"/>
                <w:color w:val="FFFFFF"/>
                <w:sz w:val="18"/>
              </w:rPr>
              <w:t>The question I may be carrying</w:t>
            </w:r>
          </w:p>
        </w:tc>
        <w:tc>
          <w:tcPr>
            <w:tcW w:type="dxa" w:w="1750"/>
            <w:tcMar>
              <w:top w:w="100" w:type="dxa"/>
              <w:start w:w="140" w:type="dxa"/>
              <w:bottom w:w="100" w:type="dxa"/>
              <w:end w:w="140" w:type="dxa"/>
            </w:tcMar>
            <w:shd w:fill="762631"/>
            <w:vAlign w:val="center"/>
          </w:tcPr>
          <w:p>
            <w:r>
              <w:rPr>
                <w:rFonts w:ascii="Aptos" w:hAnsi="Aptos"/>
                <w:b/>
                <w:i w:val="0"/>
                <w:color w:val="FFFFFF"/>
                <w:sz w:val="18"/>
              </w:rPr>
              <w:t>My present fit</w:t>
            </w:r>
          </w:p>
        </w:tc>
      </w:tr>
      <w:tr>
        <w:tc>
          <w:tcPr>
            <w:tcW w:type="dxa" w:w="2300"/>
            <w:vAlign w:val="center"/>
            <w:tcMar>
              <w:top w:w="100" w:type="dxa"/>
              <w:start w:w="140" w:type="dxa"/>
              <w:bottom w:w="100" w:type="dxa"/>
              <w:end w:w="140" w:type="dxa"/>
            </w:tcMar>
          </w:tcPr>
          <w:p>
            <w:r>
              <w:rPr>
                <w:rFonts w:ascii="Aptos" w:hAnsi="Aptos"/>
                <w:b w:val="0"/>
                <w:i w:val="0"/>
                <w:color w:val="2F292B"/>
                <w:sz w:val="18"/>
              </w:rPr>
              <w:t>Professional Calling</w:t>
            </w:r>
          </w:p>
        </w:tc>
        <w:tc>
          <w:tcPr>
            <w:tcW w:type="dxa" w:w="5310"/>
            <w:vAlign w:val="center"/>
            <w:tcMar>
              <w:top w:w="100" w:type="dxa"/>
              <w:start w:w="140" w:type="dxa"/>
              <w:bottom w:w="100" w:type="dxa"/>
              <w:end w:w="140" w:type="dxa"/>
            </w:tcMar>
          </w:tcPr>
          <w:p>
            <w:r>
              <w:rPr>
                <w:rFonts w:ascii="Aptos" w:hAnsi="Aptos"/>
                <w:b w:val="0"/>
                <w:i w:val="0"/>
                <w:color w:val="2F292B"/>
                <w:sz w:val="18"/>
              </w:rPr>
              <w:t>How are preparation, faith, experience, and responsibility converging?</w:t>
            </w:r>
          </w:p>
        </w:tc>
        <w:tc>
          <w:tcPr>
            <w:tcW w:type="dxa" w:w="1750"/>
            <w:vAlign w:val="center"/>
            <w:tcMar>
              <w:top w:w="100" w:type="dxa"/>
              <w:start w:w="140" w:type="dxa"/>
              <w:bottom w:w="100" w:type="dxa"/>
              <w:end w:w="140" w:type="dxa"/>
            </w:tcMar>
          </w:tcPr>
          <w:p>
            <w:r>
              <w:rPr>
                <w:rFonts w:ascii="Aptos" w:hAnsi="Aptos"/>
                <w:b w:val="0"/>
                <w:i w:val="0"/>
                <w:color w:val="2F292B"/>
                <w:sz w:val="18"/>
              </w:rPr>
            </w:r>
          </w:p>
        </w:tc>
      </w:tr>
      <w:tr>
        <w:tc>
          <w:tcPr>
            <w:tcW w:type="dxa" w:w="2300"/>
            <w:vAlign w:val="center"/>
            <w:tcMar>
              <w:top w:w="100" w:type="dxa"/>
              <w:start w:w="140" w:type="dxa"/>
              <w:bottom w:w="100" w:type="dxa"/>
              <w:end w:w="140" w:type="dxa"/>
            </w:tcMar>
          </w:tcPr>
          <w:p>
            <w:r>
              <w:rPr>
                <w:rFonts w:ascii="Aptos" w:hAnsi="Aptos"/>
                <w:b w:val="0"/>
                <w:i w:val="0"/>
                <w:color w:val="2F292B"/>
                <w:sz w:val="18"/>
              </w:rPr>
              <w:t>Prophetic Formation</w:t>
            </w:r>
          </w:p>
        </w:tc>
        <w:tc>
          <w:tcPr>
            <w:tcW w:type="dxa" w:w="5310"/>
            <w:vAlign w:val="center"/>
            <w:tcMar>
              <w:top w:w="100" w:type="dxa"/>
              <w:start w:w="140" w:type="dxa"/>
              <w:bottom w:w="100" w:type="dxa"/>
              <w:end w:w="140" w:type="dxa"/>
            </w:tcMar>
          </w:tcPr>
          <w:p>
            <w:r>
              <w:rPr>
                <w:rFonts w:ascii="Aptos" w:hAnsi="Aptos"/>
                <w:b w:val="0"/>
                <w:i w:val="0"/>
                <w:color w:val="2F292B"/>
                <w:sz w:val="18"/>
              </w:rPr>
              <w:t>How do I hear, test, mature, and steward responsibly?</w:t>
            </w:r>
          </w:p>
        </w:tc>
        <w:tc>
          <w:tcPr>
            <w:tcW w:type="dxa" w:w="1750"/>
            <w:vAlign w:val="center"/>
            <w:tcMar>
              <w:top w:w="100" w:type="dxa"/>
              <w:start w:w="140" w:type="dxa"/>
              <w:bottom w:w="100" w:type="dxa"/>
              <w:end w:w="140" w:type="dxa"/>
            </w:tcMar>
          </w:tcPr>
          <w:p>
            <w:r>
              <w:rPr>
                <w:rFonts w:ascii="Aptos" w:hAnsi="Aptos"/>
                <w:b w:val="0"/>
                <w:i w:val="0"/>
                <w:color w:val="2F292B"/>
                <w:sz w:val="18"/>
              </w:rPr>
            </w:r>
          </w:p>
        </w:tc>
      </w:tr>
      <w:tr>
        <w:tc>
          <w:tcPr>
            <w:tcW w:type="dxa" w:w="2300"/>
            <w:vAlign w:val="center"/>
            <w:tcMar>
              <w:top w:w="100" w:type="dxa"/>
              <w:start w:w="140" w:type="dxa"/>
              <w:bottom w:w="100" w:type="dxa"/>
              <w:end w:w="140" w:type="dxa"/>
            </w:tcMar>
          </w:tcPr>
          <w:p>
            <w:r>
              <w:rPr>
                <w:rFonts w:ascii="Aptos" w:hAnsi="Aptos"/>
                <w:b w:val="0"/>
                <w:i w:val="0"/>
                <w:color w:val="2F292B"/>
                <w:sz w:val="18"/>
              </w:rPr>
              <w:t>Leadership</w:t>
            </w:r>
          </w:p>
        </w:tc>
        <w:tc>
          <w:tcPr>
            <w:tcW w:type="dxa" w:w="5310"/>
            <w:vAlign w:val="center"/>
            <w:tcMar>
              <w:top w:w="100" w:type="dxa"/>
              <w:start w:w="140" w:type="dxa"/>
              <w:bottom w:w="100" w:type="dxa"/>
              <w:end w:w="140" w:type="dxa"/>
            </w:tcMar>
          </w:tcPr>
          <w:p>
            <w:r>
              <w:rPr>
                <w:rFonts w:ascii="Aptos" w:hAnsi="Aptos"/>
                <w:b w:val="0"/>
                <w:i w:val="0"/>
                <w:color w:val="2F292B"/>
                <w:sz w:val="18"/>
              </w:rPr>
              <w:t>What kind of person must I become to carry authority as service?</w:t>
            </w:r>
          </w:p>
        </w:tc>
        <w:tc>
          <w:tcPr>
            <w:tcW w:type="dxa" w:w="1750"/>
            <w:vAlign w:val="center"/>
            <w:tcMar>
              <w:top w:w="100" w:type="dxa"/>
              <w:start w:w="140" w:type="dxa"/>
              <w:bottom w:w="100" w:type="dxa"/>
              <w:end w:w="140" w:type="dxa"/>
            </w:tcMar>
          </w:tcPr>
          <w:p>
            <w:r>
              <w:rPr>
                <w:rFonts w:ascii="Aptos" w:hAnsi="Aptos"/>
                <w:b w:val="0"/>
                <w:i w:val="0"/>
                <w:color w:val="2F292B"/>
                <w:sz w:val="18"/>
              </w:rPr>
            </w:r>
          </w:p>
        </w:tc>
      </w:tr>
      <w:tr>
        <w:tc>
          <w:tcPr>
            <w:tcW w:type="dxa" w:w="2300"/>
            <w:vAlign w:val="center"/>
            <w:tcMar>
              <w:top w:w="100" w:type="dxa"/>
              <w:start w:w="140" w:type="dxa"/>
              <w:bottom w:w="100" w:type="dxa"/>
              <w:end w:w="140" w:type="dxa"/>
            </w:tcMar>
          </w:tcPr>
          <w:p>
            <w:r>
              <w:rPr>
                <w:rFonts w:ascii="Aptos" w:hAnsi="Aptos"/>
                <w:b w:val="0"/>
                <w:i w:val="0"/>
                <w:color w:val="2F292B"/>
                <w:sz w:val="18"/>
              </w:rPr>
              <w:t>Spiritual Identity</w:t>
            </w:r>
          </w:p>
        </w:tc>
        <w:tc>
          <w:tcPr>
            <w:tcW w:type="dxa" w:w="5310"/>
            <w:vAlign w:val="center"/>
            <w:tcMar>
              <w:top w:w="100" w:type="dxa"/>
              <w:start w:w="140" w:type="dxa"/>
              <w:bottom w:w="100" w:type="dxa"/>
              <w:end w:w="140" w:type="dxa"/>
            </w:tcMar>
          </w:tcPr>
          <w:p>
            <w:r>
              <w:rPr>
                <w:rFonts w:ascii="Aptos" w:hAnsi="Aptos"/>
                <w:b w:val="0"/>
                <w:i w:val="0"/>
                <w:color w:val="2F292B"/>
                <w:sz w:val="18"/>
              </w:rPr>
              <w:t>What part of me is returning, integrating, or coming home?</w:t>
            </w:r>
          </w:p>
        </w:tc>
        <w:tc>
          <w:tcPr>
            <w:tcW w:type="dxa" w:w="1750"/>
            <w:vAlign w:val="center"/>
            <w:tcMar>
              <w:top w:w="100" w:type="dxa"/>
              <w:start w:w="140" w:type="dxa"/>
              <w:bottom w:w="100" w:type="dxa"/>
              <w:end w:w="140" w:type="dxa"/>
            </w:tcMar>
          </w:tcPr>
          <w:p>
            <w:r>
              <w:rPr>
                <w:rFonts w:ascii="Aptos" w:hAnsi="Aptos"/>
                <w:b w:val="0"/>
                <w:i w:val="0"/>
                <w:color w:val="2F292B"/>
                <w:sz w:val="18"/>
              </w:rPr>
            </w:r>
          </w:p>
        </w:tc>
      </w:tr>
      <w:tr>
        <w:tc>
          <w:tcPr>
            <w:tcW w:type="dxa" w:w="2300"/>
            <w:vAlign w:val="center"/>
            <w:tcMar>
              <w:top w:w="100" w:type="dxa"/>
              <w:start w:w="140" w:type="dxa"/>
              <w:bottom w:w="100" w:type="dxa"/>
              <w:end w:w="140" w:type="dxa"/>
            </w:tcMar>
          </w:tcPr>
          <w:p>
            <w:r>
              <w:rPr>
                <w:rFonts w:ascii="Aptos" w:hAnsi="Aptos"/>
                <w:b w:val="0"/>
                <w:i w:val="0"/>
                <w:color w:val="2F292B"/>
                <w:sz w:val="18"/>
              </w:rPr>
              <w:t>Transitions</w:t>
            </w:r>
          </w:p>
        </w:tc>
        <w:tc>
          <w:tcPr>
            <w:tcW w:type="dxa" w:w="5310"/>
            <w:vAlign w:val="center"/>
            <w:tcMar>
              <w:top w:w="100" w:type="dxa"/>
              <w:start w:w="140" w:type="dxa"/>
              <w:bottom w:w="100" w:type="dxa"/>
              <w:end w:w="140" w:type="dxa"/>
            </w:tcMar>
          </w:tcPr>
          <w:p>
            <w:r>
              <w:rPr>
                <w:rFonts w:ascii="Aptos" w:hAnsi="Aptos"/>
                <w:b w:val="0"/>
                <w:i w:val="0"/>
                <w:color w:val="2F292B"/>
                <w:sz w:val="18"/>
              </w:rPr>
              <w:t>What is this threshold forming before it resolves?</w:t>
            </w:r>
          </w:p>
        </w:tc>
        <w:tc>
          <w:tcPr>
            <w:tcW w:type="dxa" w:w="1750"/>
            <w:vAlign w:val="center"/>
            <w:tcMar>
              <w:top w:w="100" w:type="dxa"/>
              <w:start w:w="140" w:type="dxa"/>
              <w:bottom w:w="100" w:type="dxa"/>
              <w:end w:w="140" w:type="dxa"/>
            </w:tcMar>
          </w:tcPr>
          <w:p>
            <w:r>
              <w:rPr>
                <w:rFonts w:ascii="Aptos" w:hAnsi="Aptos"/>
                <w:b w:val="0"/>
                <w:i w:val="0"/>
                <w:color w:val="2F292B"/>
                <w:sz w:val="18"/>
              </w:rPr>
            </w:r>
          </w:p>
        </w:tc>
      </w:tr>
      <w:tr>
        <w:tc>
          <w:tcPr>
            <w:tcW w:type="dxa" w:w="2300"/>
            <w:vAlign w:val="center"/>
            <w:tcMar>
              <w:top w:w="100" w:type="dxa"/>
              <w:start w:w="140" w:type="dxa"/>
              <w:bottom w:w="100" w:type="dxa"/>
              <w:end w:w="140" w:type="dxa"/>
            </w:tcMar>
          </w:tcPr>
          <w:p>
            <w:r>
              <w:rPr>
                <w:rFonts w:ascii="Aptos" w:hAnsi="Aptos"/>
                <w:b w:val="0"/>
                <w:i w:val="0"/>
                <w:color w:val="2F292B"/>
                <w:sz w:val="18"/>
              </w:rPr>
              <w:t>Grief and Redemption</w:t>
            </w:r>
          </w:p>
        </w:tc>
        <w:tc>
          <w:tcPr>
            <w:tcW w:type="dxa" w:w="5310"/>
            <w:vAlign w:val="center"/>
            <w:tcMar>
              <w:top w:w="100" w:type="dxa"/>
              <w:start w:w="140" w:type="dxa"/>
              <w:bottom w:w="100" w:type="dxa"/>
              <w:end w:w="140" w:type="dxa"/>
            </w:tcMar>
          </w:tcPr>
          <w:p>
            <w:r>
              <w:rPr>
                <w:rFonts w:ascii="Aptos" w:hAnsi="Aptos"/>
                <w:b w:val="0"/>
                <w:i w:val="0"/>
                <w:color w:val="2F292B"/>
                <w:sz w:val="18"/>
              </w:rPr>
              <w:t>What deserves grief, tenderness, repair, or release?</w:t>
            </w:r>
          </w:p>
        </w:tc>
        <w:tc>
          <w:tcPr>
            <w:tcW w:type="dxa" w:w="1750"/>
            <w:vAlign w:val="center"/>
            <w:tcMar>
              <w:top w:w="100" w:type="dxa"/>
              <w:start w:w="140" w:type="dxa"/>
              <w:bottom w:w="100" w:type="dxa"/>
              <w:end w:w="140" w:type="dxa"/>
            </w:tcMar>
          </w:tcPr>
          <w:p>
            <w:r>
              <w:rPr>
                <w:rFonts w:ascii="Aptos" w:hAnsi="Aptos"/>
                <w:b w:val="0"/>
                <w:i w:val="0"/>
                <w:color w:val="2F292B"/>
                <w:sz w:val="18"/>
              </w:rPr>
            </w:r>
          </w:p>
        </w:tc>
      </w:tr>
      <w:tr>
        <w:tc>
          <w:tcPr>
            <w:tcW w:type="dxa" w:w="2300"/>
            <w:vAlign w:val="center"/>
            <w:tcMar>
              <w:top w:w="100" w:type="dxa"/>
              <w:start w:w="140" w:type="dxa"/>
              <w:bottom w:w="100" w:type="dxa"/>
              <w:end w:w="140" w:type="dxa"/>
            </w:tcMar>
          </w:tcPr>
          <w:p>
            <w:r>
              <w:rPr>
                <w:rFonts w:ascii="Aptos" w:hAnsi="Aptos"/>
                <w:b w:val="0"/>
                <w:i w:val="0"/>
                <w:color w:val="2F292B"/>
                <w:sz w:val="18"/>
              </w:rPr>
              <w:t>Assignments to Nations</w:t>
            </w:r>
          </w:p>
        </w:tc>
        <w:tc>
          <w:tcPr>
            <w:tcW w:type="dxa" w:w="5310"/>
            <w:vAlign w:val="center"/>
            <w:tcMar>
              <w:top w:w="100" w:type="dxa"/>
              <w:start w:w="140" w:type="dxa"/>
              <w:bottom w:w="100" w:type="dxa"/>
              <w:end w:w="140" w:type="dxa"/>
            </w:tcMar>
          </w:tcPr>
          <w:p>
            <w:r>
              <w:rPr>
                <w:rFonts w:ascii="Aptos" w:hAnsi="Aptos"/>
                <w:b w:val="0"/>
                <w:i w:val="0"/>
                <w:color w:val="2F292B"/>
                <w:sz w:val="18"/>
              </w:rPr>
              <w:t>What formation, culture, counsel, and responsibility must precede sending?</w:t>
            </w:r>
          </w:p>
        </w:tc>
        <w:tc>
          <w:tcPr>
            <w:tcW w:type="dxa" w:w="1750"/>
            <w:vAlign w:val="center"/>
            <w:tcMar>
              <w:top w:w="100" w:type="dxa"/>
              <w:start w:w="140" w:type="dxa"/>
              <w:bottom w:w="100" w:type="dxa"/>
              <w:end w:w="140" w:type="dxa"/>
            </w:tcMar>
          </w:tcPr>
          <w:p>
            <w:r>
              <w:rPr>
                <w:rFonts w:ascii="Aptos" w:hAnsi="Aptos"/>
                <w:b w:val="0"/>
                <w:i w:val="0"/>
                <w:color w:val="2F292B"/>
                <w:sz w:val="18"/>
              </w:rPr>
            </w:r>
          </w:p>
        </w:tc>
      </w:tr>
    </w:tbl>
    <w:p/>
    <w:p>
      <w:pPr>
        <w:pStyle w:val="Heading1"/>
      </w:pPr>
      <w:r>
        <w:t>The pattern map</w:t>
      </w:r>
    </w:p>
    <w:p>
      <w:pPr>
        <w:pStyle w:val="Heading2"/>
      </w:pPr>
      <w:r>
        <w:t>What has repeated across roles or seasons?</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has produced good fruit?</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has produced depletion, distortion, or harm?</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preparation has become newly relevant?</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What small key may belong to a widening field?</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br w:type="page"/>
      </w:r>
    </w:p>
    <w:p>
      <w:pPr>
        <w:pStyle w:val="Heading1"/>
      </w:pPr>
      <w:r>
        <w:t>A 30-day integration rhythm</w:t>
      </w:r>
    </w:p>
    <w:tbl>
      <w:tblPr>
        <w:tblStyle w:val="TableGrid"/>
        <w:tblW w:type="dxa" w:w="9360"/>
        <w:jc w:val="center"/>
        <w:tblLayout w:type="fixed"/>
        <w:tblLook w:firstColumn="1" w:firstRow="1" w:lastColumn="0" w:lastRow="0" w:noHBand="0" w:noVBand="1" w:val="04A0"/>
        <w:tblInd w:w="140" w:type="dxa"/>
      </w:tblPr>
      <w:tblGrid>
        <w:gridCol w:w="1400"/>
        <w:gridCol w:w="1800"/>
        <w:gridCol w:w="6160"/>
      </w:tblGrid>
      <w:tr>
        <w:trPr>
          <w:tblHeader w:val="true"/>
        </w:trPr>
        <w:tc>
          <w:tcPr>
            <w:tcW w:type="dxa" w:w="1400"/>
            <w:tcMar>
              <w:top w:w="100" w:type="dxa"/>
              <w:start w:w="140" w:type="dxa"/>
              <w:bottom w:w="100" w:type="dxa"/>
              <w:end w:w="140" w:type="dxa"/>
            </w:tcMar>
            <w:shd w:fill="762631"/>
            <w:vAlign w:val="center"/>
          </w:tcPr>
          <w:p>
            <w:r>
              <w:rPr>
                <w:rFonts w:ascii="Aptos" w:hAnsi="Aptos"/>
                <w:b/>
                <w:i w:val="0"/>
                <w:color w:val="FFFFFF"/>
                <w:sz w:val="18"/>
              </w:rPr>
              <w:t>Days</w:t>
            </w:r>
          </w:p>
        </w:tc>
        <w:tc>
          <w:tcPr>
            <w:tcW w:type="dxa" w:w="1800"/>
            <w:tcMar>
              <w:top w:w="100" w:type="dxa"/>
              <w:start w:w="140" w:type="dxa"/>
              <w:bottom w:w="100" w:type="dxa"/>
              <w:end w:w="140" w:type="dxa"/>
            </w:tcMar>
            <w:shd w:fill="762631"/>
            <w:vAlign w:val="center"/>
          </w:tcPr>
          <w:p>
            <w:r>
              <w:rPr>
                <w:rFonts w:ascii="Aptos" w:hAnsi="Aptos"/>
                <w:b/>
                <w:i w:val="0"/>
                <w:color w:val="FFFFFF"/>
                <w:sz w:val="18"/>
              </w:rPr>
              <w:t>Movement</w:t>
            </w:r>
          </w:p>
        </w:tc>
        <w:tc>
          <w:tcPr>
            <w:tcW w:type="dxa" w:w="6160"/>
            <w:tcMar>
              <w:top w:w="100" w:type="dxa"/>
              <w:start w:w="140" w:type="dxa"/>
              <w:bottom w:w="100" w:type="dxa"/>
              <w:end w:w="140" w:type="dxa"/>
            </w:tcMar>
            <w:shd w:fill="762631"/>
            <w:vAlign w:val="center"/>
          </w:tcPr>
          <w:p>
            <w:r>
              <w:rPr>
                <w:rFonts w:ascii="Aptos" w:hAnsi="Aptos"/>
                <w:b/>
                <w:i w:val="0"/>
                <w:color w:val="FFFFFF"/>
                <w:sz w:val="18"/>
              </w:rPr>
              <w:t>Daily practice</w:t>
            </w:r>
          </w:p>
        </w:tc>
      </w:tr>
      <w:tr>
        <w:tc>
          <w:tcPr>
            <w:tcW w:type="dxa" w:w="1400"/>
            <w:vAlign w:val="center"/>
            <w:tcMar>
              <w:top w:w="100" w:type="dxa"/>
              <w:start w:w="140" w:type="dxa"/>
              <w:bottom w:w="100" w:type="dxa"/>
              <w:end w:w="140" w:type="dxa"/>
            </w:tcMar>
          </w:tcPr>
          <w:p>
            <w:r>
              <w:rPr>
                <w:rFonts w:ascii="Aptos" w:hAnsi="Aptos"/>
                <w:b w:val="0"/>
                <w:i w:val="0"/>
                <w:color w:val="2F292B"/>
                <w:sz w:val="18"/>
              </w:rPr>
              <w:t>1–7</w:t>
            </w:r>
          </w:p>
        </w:tc>
        <w:tc>
          <w:tcPr>
            <w:tcW w:type="dxa" w:w="1800"/>
            <w:vAlign w:val="center"/>
            <w:tcMar>
              <w:top w:w="100" w:type="dxa"/>
              <w:start w:w="140" w:type="dxa"/>
              <w:bottom w:w="100" w:type="dxa"/>
              <w:end w:w="140" w:type="dxa"/>
            </w:tcMar>
          </w:tcPr>
          <w:p>
            <w:r>
              <w:rPr>
                <w:rFonts w:ascii="Aptos" w:hAnsi="Aptos"/>
                <w:b w:val="0"/>
                <w:i w:val="0"/>
                <w:color w:val="2F292B"/>
                <w:sz w:val="18"/>
              </w:rPr>
              <w:t>Recognize</w:t>
            </w:r>
          </w:p>
        </w:tc>
        <w:tc>
          <w:tcPr>
            <w:tcW w:type="dxa" w:w="6160"/>
            <w:vAlign w:val="center"/>
            <w:tcMar>
              <w:top w:w="100" w:type="dxa"/>
              <w:start w:w="140" w:type="dxa"/>
              <w:bottom w:w="100" w:type="dxa"/>
              <w:end w:w="140" w:type="dxa"/>
            </w:tcMar>
          </w:tcPr>
          <w:p>
            <w:r>
              <w:rPr>
                <w:rFonts w:ascii="Aptos" w:hAnsi="Aptos"/>
                <w:b w:val="0"/>
                <w:i w:val="0"/>
                <w:color w:val="2F292B"/>
                <w:sz w:val="18"/>
              </w:rPr>
              <w:t>Listen to one chapter or excerpt; capture one phrase, fact, feeling, and question.</w:t>
            </w:r>
          </w:p>
        </w:tc>
      </w:tr>
      <w:tr>
        <w:tc>
          <w:tcPr>
            <w:tcW w:type="dxa" w:w="1400"/>
            <w:vAlign w:val="center"/>
            <w:tcMar>
              <w:top w:w="100" w:type="dxa"/>
              <w:start w:w="140" w:type="dxa"/>
              <w:bottom w:w="100" w:type="dxa"/>
              <w:end w:w="140" w:type="dxa"/>
            </w:tcMar>
          </w:tcPr>
          <w:p>
            <w:r>
              <w:rPr>
                <w:rFonts w:ascii="Aptos" w:hAnsi="Aptos"/>
                <w:b w:val="0"/>
                <w:i w:val="0"/>
                <w:color w:val="2F292B"/>
                <w:sz w:val="18"/>
              </w:rPr>
              <w:t>8–14</w:t>
            </w:r>
          </w:p>
        </w:tc>
        <w:tc>
          <w:tcPr>
            <w:tcW w:type="dxa" w:w="1800"/>
            <w:vAlign w:val="center"/>
            <w:tcMar>
              <w:top w:w="100" w:type="dxa"/>
              <w:start w:w="140" w:type="dxa"/>
              <w:bottom w:w="100" w:type="dxa"/>
              <w:end w:w="140" w:type="dxa"/>
            </w:tcMar>
          </w:tcPr>
          <w:p>
            <w:r>
              <w:rPr>
                <w:rFonts w:ascii="Aptos" w:hAnsi="Aptos"/>
                <w:b w:val="0"/>
                <w:i w:val="0"/>
                <w:color w:val="2F292B"/>
                <w:sz w:val="18"/>
              </w:rPr>
              <w:t>Reflect</w:t>
            </w:r>
          </w:p>
        </w:tc>
        <w:tc>
          <w:tcPr>
            <w:tcW w:type="dxa" w:w="6160"/>
            <w:vAlign w:val="center"/>
            <w:tcMar>
              <w:top w:w="100" w:type="dxa"/>
              <w:start w:w="140" w:type="dxa"/>
              <w:bottom w:w="100" w:type="dxa"/>
              <w:end w:w="140" w:type="dxa"/>
            </w:tcMar>
          </w:tcPr>
          <w:p>
            <w:r>
              <w:rPr>
                <w:rFonts w:ascii="Aptos" w:hAnsi="Aptos"/>
                <w:b w:val="0"/>
                <w:i w:val="0"/>
                <w:color w:val="2F292B"/>
                <w:sz w:val="18"/>
              </w:rPr>
              <w:t>Review Scripture in context; distinguish evidence, testimony, interpretation, and discernment.</w:t>
            </w:r>
          </w:p>
        </w:tc>
      </w:tr>
      <w:tr>
        <w:tc>
          <w:tcPr>
            <w:tcW w:type="dxa" w:w="1400"/>
            <w:vAlign w:val="center"/>
            <w:tcMar>
              <w:top w:w="100" w:type="dxa"/>
              <w:start w:w="140" w:type="dxa"/>
              <w:bottom w:w="100" w:type="dxa"/>
              <w:end w:w="140" w:type="dxa"/>
            </w:tcMar>
          </w:tcPr>
          <w:p>
            <w:r>
              <w:rPr>
                <w:rFonts w:ascii="Aptos" w:hAnsi="Aptos"/>
                <w:b w:val="0"/>
                <w:i w:val="0"/>
                <w:color w:val="2F292B"/>
                <w:sz w:val="18"/>
              </w:rPr>
              <w:t>15–21</w:t>
            </w:r>
          </w:p>
        </w:tc>
        <w:tc>
          <w:tcPr>
            <w:tcW w:type="dxa" w:w="1800"/>
            <w:vAlign w:val="center"/>
            <w:tcMar>
              <w:top w:w="100" w:type="dxa"/>
              <w:start w:w="140" w:type="dxa"/>
              <w:bottom w:w="100" w:type="dxa"/>
              <w:end w:w="140" w:type="dxa"/>
            </w:tcMar>
          </w:tcPr>
          <w:p>
            <w:r>
              <w:rPr>
                <w:rFonts w:ascii="Aptos" w:hAnsi="Aptos"/>
                <w:b w:val="0"/>
                <w:i w:val="0"/>
                <w:color w:val="2F292B"/>
                <w:sz w:val="18"/>
              </w:rPr>
              <w:t>Discern</w:t>
            </w:r>
          </w:p>
        </w:tc>
        <w:tc>
          <w:tcPr>
            <w:tcW w:type="dxa" w:w="6160"/>
            <w:vAlign w:val="center"/>
            <w:tcMar>
              <w:top w:w="100" w:type="dxa"/>
              <w:start w:w="140" w:type="dxa"/>
              <w:bottom w:w="100" w:type="dxa"/>
              <w:end w:w="140" w:type="dxa"/>
            </w:tcMar>
          </w:tcPr>
          <w:p>
            <w:r>
              <w:rPr>
                <w:rFonts w:ascii="Aptos" w:hAnsi="Aptos"/>
                <w:b w:val="0"/>
                <w:i w:val="0"/>
                <w:color w:val="2F292B"/>
                <w:sz w:val="18"/>
              </w:rPr>
              <w:t>Seek counsel; consider alternatives; watch timing, fruit, freedom, responsibility, and boundaries.</w:t>
            </w:r>
          </w:p>
        </w:tc>
      </w:tr>
      <w:tr>
        <w:tc>
          <w:tcPr>
            <w:tcW w:type="dxa" w:w="1400"/>
            <w:vAlign w:val="center"/>
            <w:tcMar>
              <w:top w:w="100" w:type="dxa"/>
              <w:start w:w="140" w:type="dxa"/>
              <w:bottom w:w="100" w:type="dxa"/>
              <w:end w:w="140" w:type="dxa"/>
            </w:tcMar>
          </w:tcPr>
          <w:p>
            <w:r>
              <w:rPr>
                <w:rFonts w:ascii="Aptos" w:hAnsi="Aptos"/>
                <w:b w:val="0"/>
                <w:i w:val="0"/>
                <w:color w:val="2F292B"/>
                <w:sz w:val="18"/>
              </w:rPr>
              <w:t>22–28</w:t>
            </w:r>
          </w:p>
        </w:tc>
        <w:tc>
          <w:tcPr>
            <w:tcW w:type="dxa" w:w="1800"/>
            <w:vAlign w:val="center"/>
            <w:tcMar>
              <w:top w:w="100" w:type="dxa"/>
              <w:start w:w="140" w:type="dxa"/>
              <w:bottom w:w="100" w:type="dxa"/>
              <w:end w:w="140" w:type="dxa"/>
            </w:tcMar>
          </w:tcPr>
          <w:p>
            <w:r>
              <w:rPr>
                <w:rFonts w:ascii="Aptos" w:hAnsi="Aptos"/>
                <w:b w:val="0"/>
                <w:i w:val="0"/>
                <w:color w:val="2F292B"/>
                <w:sz w:val="18"/>
              </w:rPr>
              <w:t>Respond</w:t>
            </w:r>
          </w:p>
        </w:tc>
        <w:tc>
          <w:tcPr>
            <w:tcW w:type="dxa" w:w="6160"/>
            <w:vAlign w:val="center"/>
            <w:tcMar>
              <w:top w:w="100" w:type="dxa"/>
              <w:start w:w="140" w:type="dxa"/>
              <w:bottom w:w="100" w:type="dxa"/>
              <w:end w:w="140" w:type="dxa"/>
            </w:tcMar>
          </w:tcPr>
          <w:p>
            <w:r>
              <w:rPr>
                <w:rFonts w:ascii="Aptos" w:hAnsi="Aptos"/>
                <w:b w:val="0"/>
                <w:i w:val="0"/>
                <w:color w:val="2F292B"/>
                <w:sz w:val="18"/>
              </w:rPr>
              <w:t>Take one proportionate action; document what occurred without exaggerating meaning.</w:t>
            </w:r>
          </w:p>
        </w:tc>
      </w:tr>
      <w:tr>
        <w:tc>
          <w:tcPr>
            <w:tcW w:type="dxa" w:w="1400"/>
            <w:vAlign w:val="center"/>
            <w:tcMar>
              <w:top w:w="100" w:type="dxa"/>
              <w:start w:w="140" w:type="dxa"/>
              <w:bottom w:w="100" w:type="dxa"/>
              <w:end w:w="140" w:type="dxa"/>
            </w:tcMar>
          </w:tcPr>
          <w:p>
            <w:r>
              <w:rPr>
                <w:rFonts w:ascii="Aptos" w:hAnsi="Aptos"/>
                <w:b w:val="0"/>
                <w:i w:val="0"/>
                <w:color w:val="2F292B"/>
                <w:sz w:val="18"/>
              </w:rPr>
              <w:t>29–30</w:t>
            </w:r>
          </w:p>
        </w:tc>
        <w:tc>
          <w:tcPr>
            <w:tcW w:type="dxa" w:w="1800"/>
            <w:vAlign w:val="center"/>
            <w:tcMar>
              <w:top w:w="100" w:type="dxa"/>
              <w:start w:w="140" w:type="dxa"/>
              <w:bottom w:w="100" w:type="dxa"/>
              <w:end w:w="140" w:type="dxa"/>
            </w:tcMar>
          </w:tcPr>
          <w:p>
            <w:r>
              <w:rPr>
                <w:rFonts w:ascii="Aptos" w:hAnsi="Aptos"/>
                <w:b w:val="0"/>
                <w:i w:val="0"/>
                <w:color w:val="2F292B"/>
                <w:sz w:val="18"/>
              </w:rPr>
              <w:t>Review</w:t>
            </w:r>
          </w:p>
        </w:tc>
        <w:tc>
          <w:tcPr>
            <w:tcW w:type="dxa" w:w="6160"/>
            <w:vAlign w:val="center"/>
            <w:tcMar>
              <w:top w:w="100" w:type="dxa"/>
              <w:start w:w="140" w:type="dxa"/>
              <w:bottom w:w="100" w:type="dxa"/>
              <w:end w:w="140" w:type="dxa"/>
            </w:tcMar>
          </w:tcPr>
          <w:p>
            <w:r>
              <w:rPr>
                <w:rFonts w:ascii="Aptos" w:hAnsi="Aptos"/>
                <w:b w:val="0"/>
                <w:i w:val="0"/>
                <w:color w:val="2F292B"/>
                <w:sz w:val="18"/>
              </w:rPr>
              <w:t>Name what became clearer, what remains open, and what rhythm should continue.</w:t>
            </w:r>
          </w:p>
        </w:tc>
      </w:tr>
    </w:tbl>
    <w:p/>
    <w:p>
      <w:pPr>
        <w:pStyle w:val="Heading2"/>
      </w:pPr>
      <w:r>
        <w:t>Week 1 review</w:t>
      </w:r>
    </w:p>
    <w:p>
      <w:r>
        <w:rPr>
          <w:rFonts w:ascii="Aptos" w:hAnsi="Aptos"/>
          <w:b/>
          <w:i w:val="0"/>
          <w:color w:val="2F292B"/>
          <w:sz w:val="21"/>
        </w:rPr>
        <w:t>What changed?</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What remained steady?</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What fruit can I observe?</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What requires counsel, correction, rest, or continuation?</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Week 2 review</w:t>
      </w:r>
    </w:p>
    <w:p>
      <w:r>
        <w:rPr>
          <w:rFonts w:ascii="Aptos" w:hAnsi="Aptos"/>
          <w:b/>
          <w:i w:val="0"/>
          <w:color w:val="2F292B"/>
          <w:sz w:val="21"/>
        </w:rPr>
        <w:t>What changed?</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What remained steady?</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What fruit can I observe?</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What requires counsel, correction, rest, or continuation?</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Week 3 review</w:t>
      </w:r>
    </w:p>
    <w:p>
      <w:r>
        <w:rPr>
          <w:rFonts w:ascii="Aptos" w:hAnsi="Aptos"/>
          <w:b/>
          <w:i w:val="0"/>
          <w:color w:val="2F292B"/>
          <w:sz w:val="21"/>
        </w:rPr>
        <w:t>What changed?</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What remained steady?</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What fruit can I observe?</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What requires counsel, correction, rest, or continuation?</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Week 4 review</w:t>
      </w:r>
    </w:p>
    <w:p>
      <w:r>
        <w:rPr>
          <w:rFonts w:ascii="Aptos" w:hAnsi="Aptos"/>
          <w:b/>
          <w:i w:val="0"/>
          <w:color w:val="2F292B"/>
          <w:sz w:val="21"/>
        </w:rPr>
        <w:t>What changed?</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What remained steady?</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What fruit can I observe?</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rPr>
          <w:rFonts w:ascii="Aptos" w:hAnsi="Aptos"/>
          <w:b/>
          <w:i w:val="0"/>
          <w:color w:val="2F292B"/>
          <w:sz w:val="21"/>
        </w:rPr>
        <w:t>What requires counsel, correction, rest, or continuation?</w:t>
      </w:r>
      <w:r>
        <w:rPr>
          <w:rFonts w:ascii="Aptos" w:hAnsi="Aptos"/>
          <w:b w:val="0"/>
          <w:i w:val="0"/>
          <w:color w:val="2F292B"/>
          <w:sz w:val="21"/>
        </w:rPr>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r>
        <w:br w:type="page"/>
      </w:r>
    </w:p>
    <w:p>
      <w:pPr>
        <w:pStyle w:val="Heading1"/>
      </w:pPr>
      <w:r>
        <w:t>Facilitated-circle preparation</w:t>
      </w:r>
    </w:p>
    <w:p>
      <w:pPr>
        <w:pStyle w:val="Heading2"/>
      </w:pPr>
      <w:r>
        <w:t>The insight I can share without disclosing another person’s private information:</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The question on which I welcome reflection rather than instruction:</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The boundary I will maintain:</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The kind of support I am requesting: listening / prayer / ideas / professional perspective / accountability / none: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The action I will decide for myself after the conversation:</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Circle covenant</w:t>
      </w:r>
    </w:p>
    <w:p>
      <w:pPr>
        <w:pStyle w:val="ListBullet"/>
      </w:pPr>
      <w:r>
        <w:rPr>
          <w:rFonts w:ascii="Aptos" w:hAnsi="Aptos"/>
          <w:b w:val="0"/>
          <w:i w:val="0"/>
          <w:color w:val="2F292B"/>
          <w:sz w:val="21"/>
        </w:rPr>
        <w:t>Speak from personal experience.</w:t>
      </w:r>
    </w:p>
    <w:p>
      <w:pPr>
        <w:pStyle w:val="ListBullet"/>
      </w:pPr>
      <w:r>
        <w:rPr>
          <w:rFonts w:ascii="Aptos" w:hAnsi="Aptos"/>
          <w:b w:val="0"/>
          <w:i w:val="0"/>
          <w:color w:val="2F292B"/>
          <w:sz w:val="21"/>
        </w:rPr>
        <w:t>Do not diagnose, prescribe, pressure, prophesy over, or extract disclosure from another participant.</w:t>
      </w:r>
    </w:p>
    <w:p>
      <w:pPr>
        <w:pStyle w:val="ListBullet"/>
      </w:pPr>
      <w:r>
        <w:rPr>
          <w:rFonts w:ascii="Aptos" w:hAnsi="Aptos"/>
          <w:b w:val="0"/>
          <w:i w:val="0"/>
          <w:color w:val="2F292B"/>
          <w:sz w:val="21"/>
        </w:rPr>
        <w:t>Keep confidentiality while acknowledging that no group setting can promise absolute secrecy.</w:t>
      </w:r>
    </w:p>
    <w:p>
      <w:pPr>
        <w:pStyle w:val="ListBullet"/>
      </w:pPr>
      <w:r>
        <w:rPr>
          <w:rFonts w:ascii="Aptos" w:hAnsi="Aptos"/>
          <w:b w:val="0"/>
          <w:i w:val="0"/>
          <w:color w:val="2F292B"/>
          <w:sz w:val="21"/>
        </w:rPr>
        <w:t>Do not share protected health information or identifying professional cases.</w:t>
      </w:r>
    </w:p>
    <w:p>
      <w:pPr>
        <w:pStyle w:val="ListBullet"/>
      </w:pPr>
      <w:r>
        <w:rPr>
          <w:rFonts w:ascii="Aptos" w:hAnsi="Aptos"/>
          <w:b w:val="0"/>
          <w:i w:val="0"/>
          <w:color w:val="2F292B"/>
          <w:sz w:val="21"/>
        </w:rPr>
        <w:t>Make room for difference, silence, uncertainty, and a decision not to act.</w:t>
      </w:r>
    </w:p>
    <w:p>
      <w:pPr>
        <w:pStyle w:val="ListBullet"/>
      </w:pPr>
      <w:r>
        <w:rPr>
          <w:rFonts w:ascii="Aptos" w:hAnsi="Aptos"/>
          <w:b w:val="0"/>
          <w:i w:val="0"/>
          <w:color w:val="2F292B"/>
          <w:sz w:val="21"/>
        </w:rPr>
        <w:t>Direct urgent clinical, mental-health, safeguarding, legal, or security needs to appropriate qualified support.</w:t>
      </w:r>
    </w:p>
    <w:p>
      <w:r>
        <w:br w:type="page"/>
      </w:r>
    </w:p>
    <w:p>
      <w:pPr>
        <w:pStyle w:val="Heading1"/>
      </w:pPr>
      <w:r>
        <w:t>My 90-day statement</w:t>
      </w:r>
    </w:p>
    <w:p>
      <w:pPr>
        <w:pStyle w:val="Heading2"/>
      </w:pPr>
      <w:r>
        <w:t>The pattern I now recognize: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The interpretation I am testing:</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The counsel and context I will include: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The next faithful response: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The boundary that keeps the response ethical and proportionate:</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The fruit I will review in 30, 60, and 90 days:</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spacing w:after="160"/>
      </w:pPr>
      <w:r>
        <w:rPr>
          <w:color w:val="DEC9CC"/>
        </w:rPr>
        <w:t>________________________________________________________________________________</w:t>
      </w:r>
    </w:p>
    <w:p>
      <w:pPr>
        <w:pStyle w:val="Heading2"/>
      </w:pPr>
      <w:r>
        <w:t>Closing prayer</w:t>
      </w:r>
    </w:p>
    <w:p>
      <w:r>
        <w:rPr>
          <w:rFonts w:ascii="Aptos" w:hAnsi="Aptos"/>
          <w:b w:val="0"/>
          <w:i/>
          <w:color w:val="2F292B"/>
          <w:sz w:val="21"/>
        </w:rPr>
        <w:t>God of wisdom, mercy, and faithful presence, thank You for what has become visible and for what remains unfinished. Keep me truthful about evidence, humble about interpretation, patient in discernment, and faithful in response. Form my character alongside my capacity. Let my work serve people without consuming my humanity. Let every widening assignment remain accountable to love, justice, wisdom, and peace. Amen.</w:t>
      </w:r>
    </w:p>
    <w:sectPr w:rsidR="00FC693F" w:rsidRPr="0006063C" w:rsidSect="00034616">
      <w:headerReference w:type="default" r:id="rId9"/>
      <w:footerReference w:type="default" r:id="rId10"/>
      <w:pgSz w:w="12240" w:h="15840"/>
      <w:pgMar w:top="1123" w:right="1181" w:bottom="1080" w:left="1181" w:header="547" w:footer="54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i w:val="0"/>
        <w:color w:val="715F62"/>
        <w:sz w:val="16"/>
      </w:rPr>
      <w:t xml:space="preserve">DR. SHERRY-ANN BROWN  |  </w:t>
    </w:r>
    <w:r>
      <w:fldChar w:fldCharType="begin"/>
      <w:instrText xml:space="preserve">PAGE</w:instrText>
      <w:fldChar w:fldCharType="separate"/>
      <w:t>1</w:t>
      <w:fldChar w:fldCharType="end"/>
    </w:r>
    <w:r>
      <w:t xml:space="preserve">  |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Aptos" w:hAnsi="Aptos"/>
        <w:b/>
        <w:i w:val="0"/>
        <w:color w:val="B78B3F"/>
        <w:sz w:val="16"/>
      </w:rPr>
      <w:t>REFLECTION COMPANION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4" w:lineRule="auto"/>
    </w:pPr>
    <w:rPr>
      <w:rFonts w:ascii="Aptos" w:hAnsi="Aptos"/>
      <w:color w:val="2F292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Georgia" w:hAnsi="Georgia"/>
      <w:b/>
      <w:bCs/>
      <w:color w:val="762631"/>
      <w:sz w:val="40"/>
      <w:szCs w:val="28"/>
    </w:rPr>
  </w:style>
  <w:style w:type="paragraph" w:styleId="Heading2">
    <w:name w:val="heading 2"/>
    <w:basedOn w:val="Normal"/>
    <w:next w:val="Normal"/>
    <w:link w:val="Heading2Char"/>
    <w:uiPriority w:val="9"/>
    <w:unhideWhenUsed/>
    <w:qFormat/>
    <w:rsid w:val="00FC693F"/>
    <w:pPr>
      <w:keepNext/>
      <w:keepLines/>
      <w:spacing w:before="260" w:after="120"/>
      <w:outlineLvl w:val="1"/>
    </w:pPr>
    <w:rPr>
      <w:rFonts w:asciiTheme="majorHAnsi" w:eastAsiaTheme="majorEastAsia" w:hAnsiTheme="majorHAnsi" w:cstheme="majorBidi" w:ascii="Georgia" w:hAnsi="Georgia"/>
      <w:b/>
      <w:bCs/>
      <w:color w:val="762631"/>
      <w:sz w:val="30"/>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32181F"/>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Georgia" w:hAnsi="Georgia"/>
      <w:b/>
      <w:color w:val="FFF9F2"/>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Georgia" w:hAnsi="Georgia"/>
      <w:b w:val="0"/>
      <w:i/>
      <w:iCs/>
      <w:color w:val="B78B3F"/>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10" w:line="274" w:lineRule="auto"/>
      <w:ind w:left="504" w:hanging="259"/>
      <w:contextualSpacing/>
    </w:pPr>
    <w:rPr>
      <w:rFonts w:ascii="Aptos" w:hAnsi="Apto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10" w:line="274" w:lineRule="auto"/>
      <w:ind w:left="504" w:hanging="259"/>
      <w:contextualSpacing/>
    </w:pPr>
    <w:rPr>
      <w:rFonts w:ascii="Aptos" w:hAnsi="Apto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