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drawing>
          <wp:inline xmlns:a="http://schemas.openxmlformats.org/drawingml/2006/main" xmlns:pic="http://schemas.openxmlformats.org/drawingml/2006/picture">
            <wp:extent cx="3337560" cy="4314923"/>
            <wp:docPr id="1" name="Picture 1"/>
            <wp:cNvGraphicFramePr>
              <a:graphicFrameLocks noChangeAspect="1"/>
            </wp:cNvGraphicFramePr>
            <a:graphic>
              <a:graphicData uri="http://schemas.openxmlformats.org/drawingml/2006/picture">
                <pic:pic>
                  <pic:nvPicPr>
                    <pic:cNvPr id="0" name="professional-calling-editorial-cover.png"/>
                    <pic:cNvPicPr/>
                  </pic:nvPicPr>
                  <pic:blipFill>
                    <a:blip r:embed="rId11"/>
                    <a:stretch>
                      <a:fillRect/>
                    </a:stretch>
                  </pic:blipFill>
                  <pic:spPr>
                    <a:xfrm>
                      <a:off x="0" y="0"/>
                      <a:ext cx="3337560" cy="4314923"/>
                    </a:xfrm>
                    <a:prstGeom prst="rect"/>
                  </pic:spPr>
                </pic:pic>
              </a:graphicData>
            </a:graphic>
          </wp:inline>
        </w:drawing>
      </w:r>
    </w:p>
    <w:p>
      <w:pPr>
        <w:spacing w:before="0"/>
        <w:jc w:val="center"/>
      </w:pPr>
      <w:r>
        <w:rPr>
          <w:rFonts w:ascii="Aptos" w:hAnsi="Aptos"/>
          <w:b/>
          <w:i w:val="0"/>
          <w:color w:val="B78B3F"/>
          <w:sz w:val="18"/>
        </w:rPr>
        <w:t>IMPLEMENTATION TOOLKIT</w:t>
      </w:r>
    </w:p>
    <w:p>
      <w:pPr>
        <w:spacing w:before="300" w:after="160"/>
        <w:jc w:val="center"/>
      </w:pPr>
      <w:r>
        <w:rPr>
          <w:rFonts w:ascii="Georgia" w:hAnsi="Georgia"/>
          <w:b/>
          <w:i w:val="0"/>
          <w:color w:val="762631"/>
          <w:sz w:val="60"/>
        </w:rPr>
        <w:t>Professional Calling Digital Book and Audiobook Ecosystem</w:t>
      </w:r>
    </w:p>
    <w:p>
      <w:pPr>
        <w:spacing w:after="480"/>
        <w:jc w:val="center"/>
      </w:pPr>
      <w:r>
        <w:rPr>
          <w:rFonts w:ascii="Georgia" w:hAnsi="Georgia"/>
          <w:b w:val="0"/>
          <w:i/>
          <w:color w:val="32181F"/>
          <w:sz w:val="28"/>
        </w:rPr>
        <w:t>Complete implementation, resource, recording, and launch toolkit</w:t>
      </w:r>
    </w:p>
    <w:p>
      <w:pPr>
        <w:spacing w:before="200"/>
        <w:jc w:val="center"/>
      </w:pPr>
      <w:r>
        <w:rPr>
          <w:rFonts w:ascii="Aptos" w:hAnsi="Aptos"/>
          <w:b/>
          <w:i w:val="0"/>
          <w:color w:val="715F62"/>
          <w:sz w:val="18"/>
        </w:rPr>
        <w:t>Prepared for</w:t>
      </w:r>
    </w:p>
    <w:p>
      <w:pPr>
        <w:jc w:val="center"/>
      </w:pPr>
      <w:r>
        <w:rPr>
          <w:rFonts w:ascii="Georgia" w:hAnsi="Georgia"/>
          <w:b/>
          <w:i w:val="0"/>
          <w:color w:val="762631"/>
          <w:sz w:val="26"/>
        </w:rPr>
        <w:t>Dr. Sherry-Ann Brown, MD, PhD, FACC, FAHA</w:t>
      </w:r>
    </w:p>
    <w:p>
      <w:pPr>
        <w:jc w:val="center"/>
      </w:pPr>
      <w:r>
        <w:rPr>
          <w:rFonts w:ascii="Aptos" w:hAnsi="Aptos"/>
          <w:b/>
          <w:i w:val="0"/>
          <w:color w:val="B78B3F"/>
          <w:sz w:val="18"/>
        </w:rPr>
        <w:t>The MD PhD Prophet  |  The Spark Unfolding Book Club</w:t>
      </w:r>
    </w:p>
    <w:p>
      <w:pPr>
        <w:spacing w:before="160"/>
        <w:jc w:val="center"/>
      </w:pPr>
      <w:r>
        <w:rPr>
          <w:rFonts w:ascii="Aptos" w:hAnsi="Aptos"/>
          <w:b/>
          <w:i w:val="0"/>
          <w:color w:val="32181F"/>
          <w:sz w:val="16"/>
        </w:rPr>
        <w:t>COMPLETE  |  ACCURATE  |  READABLE  |  REFINED  |  PURPOSE-BUILT</w:t>
      </w:r>
    </w:p>
    <w:p>
      <w:r>
        <w:br w:type="page"/>
      </w:r>
    </w:p>
    <w:p>
      <w:pPr>
        <w:pStyle w:val="Heading1"/>
      </w:pPr>
      <w:r>
        <w:t>Purpose and governing standard</w:t>
      </w:r>
    </w:p>
    <w:p>
      <w:r>
        <w:rPr>
          <w:rFonts w:ascii="Aptos" w:hAnsi="Aptos"/>
          <w:b w:val="0"/>
          <w:i w:val="0"/>
          <w:color w:val="2F292B"/>
          <w:sz w:val="21"/>
        </w:rPr>
        <w:t>This toolkit builds a focused professional-calling pathway inside Dr. Sherry-Ann Brown’s wider publishing and Site ecosystem. It preserves every established audience, route, feature, legal pathway, brand identity, and body of work. The new pathway gives high-fit readers a clear point of recognition and then invites them into the full breadth of The Spark Unfolding Book Club and the connected Sites.</w:t>
      </w:r>
    </w:p>
    <w:tbl>
      <w:tblPr>
        <w:tblW w:type="dxa" w:w="9360"/>
        <w:jc w:val="center"/>
        <w:tblLayout w:type="fixed"/>
        <w:tblLook w:firstColumn="1" w:firstRow="1" w:lastColumn="0" w:lastRow="0" w:noHBand="0" w:noVBand="1" w:val="04A0"/>
        <w:tblInd w:w="140" w:type="dxa"/>
      </w:tblPr>
      <w:tblGrid>
        <w:gridCol w:w="9360"/>
      </w:tblGrid>
      <w:tr>
        <w:tc>
          <w:tcPr>
            <w:tcW w:type="dxa" w:w="9360"/>
            <w:tcMar>
              <w:top w:w="100" w:type="dxa"/>
              <w:start w:w="140" w:type="dxa"/>
              <w:bottom w:w="100" w:type="dxa"/>
              <w:end w:w="140" w:type="dxa"/>
            </w:tcMar>
            <w:shd w:fill="F5E4E4"/>
          </w:tcPr>
          <w:p>
            <w:r>
              <w:rPr>
                <w:rFonts w:ascii="Aptos" w:hAnsi="Aptos"/>
                <w:b/>
                <w:i w:val="0"/>
                <w:color w:val="B78B3F"/>
                <w:sz w:val="18"/>
              </w:rPr>
              <w:t xml:space="preserve">PRIMARY MANDATE  </w:t>
            </w:r>
            <w:r>
              <w:rPr>
                <w:rFonts w:ascii="Georgia" w:hAnsi="Georgia"/>
                <w:b w:val="0"/>
                <w:i/>
                <w:color w:val="32181F"/>
                <w:sz w:val="22"/>
              </w:rPr>
              <w:t>Create a precise doorway within a spacious house: center one high-fit audience without reducing the welcome already extended to others.</w:t>
            </w:r>
          </w:p>
        </w:tc>
      </w:tr>
    </w:tbl>
    <w:p/>
    <w:p>
      <w:pPr>
        <w:pStyle w:val="Heading2"/>
      </w:pPr>
      <w:r>
        <w:t>Contents</w:t>
      </w:r>
    </w:p>
    <w:p>
      <w:pPr>
        <w:pStyle w:val="ListBullet"/>
      </w:pPr>
      <w:r>
        <w:rPr>
          <w:rFonts w:ascii="Aptos" w:hAnsi="Aptos"/>
          <w:b w:val="0"/>
          <w:i w:val="0"/>
          <w:color w:val="2F292B"/>
          <w:sz w:val="21"/>
        </w:rPr>
        <w:t>1. Strategic audience and positioning</w:t>
      </w:r>
    </w:p>
    <w:p>
      <w:pPr>
        <w:pStyle w:val="ListBullet"/>
      </w:pPr>
      <w:r>
        <w:rPr>
          <w:rFonts w:ascii="Aptos" w:hAnsi="Aptos"/>
          <w:b w:val="0"/>
          <w:i w:val="0"/>
          <w:color w:val="2F292B"/>
          <w:sz w:val="21"/>
        </w:rPr>
        <w:t>2. Evidence and format implications</w:t>
      </w:r>
    </w:p>
    <w:p>
      <w:pPr>
        <w:pStyle w:val="ListBullet"/>
      </w:pPr>
      <w:r>
        <w:rPr>
          <w:rFonts w:ascii="Aptos" w:hAnsi="Aptos"/>
          <w:b w:val="0"/>
          <w:i w:val="0"/>
          <w:color w:val="2F292B"/>
          <w:sz w:val="21"/>
        </w:rPr>
        <w:t>3. Additive Site ecosystem plan</w:t>
      </w:r>
    </w:p>
    <w:p>
      <w:pPr>
        <w:pStyle w:val="ListBullet"/>
      </w:pPr>
      <w:r>
        <w:rPr>
          <w:rFonts w:ascii="Aptos" w:hAnsi="Aptos"/>
          <w:b w:val="0"/>
          <w:i w:val="0"/>
          <w:color w:val="2F292B"/>
          <w:sz w:val="21"/>
        </w:rPr>
        <w:t>4. Reader experience and product system</w:t>
      </w:r>
    </w:p>
    <w:p>
      <w:pPr>
        <w:pStyle w:val="ListBullet"/>
      </w:pPr>
      <w:r>
        <w:rPr>
          <w:rFonts w:ascii="Aptos" w:hAnsi="Aptos"/>
          <w:b w:val="0"/>
          <w:i w:val="0"/>
          <w:color w:val="2F292B"/>
          <w:sz w:val="21"/>
        </w:rPr>
        <w:t>5. Complete resource collection</w:t>
      </w:r>
    </w:p>
    <w:p>
      <w:pPr>
        <w:pStyle w:val="ListBullet"/>
      </w:pPr>
      <w:r>
        <w:rPr>
          <w:rFonts w:ascii="Aptos" w:hAnsi="Aptos"/>
          <w:b w:val="0"/>
          <w:i w:val="0"/>
          <w:color w:val="2F292B"/>
          <w:sz w:val="21"/>
        </w:rPr>
        <w:t>6. Audiobook production guide</w:t>
      </w:r>
    </w:p>
    <w:p>
      <w:pPr>
        <w:pStyle w:val="ListBullet"/>
      </w:pPr>
      <w:r>
        <w:rPr>
          <w:rFonts w:ascii="Aptos" w:hAnsi="Aptos"/>
          <w:b w:val="0"/>
          <w:i w:val="0"/>
          <w:color w:val="2F292B"/>
          <w:sz w:val="21"/>
        </w:rPr>
        <w:t>7. Ready-to-record video scripts</w:t>
      </w:r>
    </w:p>
    <w:p>
      <w:pPr>
        <w:pStyle w:val="ListBullet"/>
      </w:pPr>
      <w:r>
        <w:rPr>
          <w:rFonts w:ascii="Aptos" w:hAnsi="Aptos"/>
          <w:b w:val="0"/>
          <w:i w:val="0"/>
          <w:color w:val="2F292B"/>
          <w:sz w:val="21"/>
        </w:rPr>
        <w:t>8. Launch messages and 90-day sequence</w:t>
      </w:r>
    </w:p>
    <w:p>
      <w:pPr>
        <w:pStyle w:val="ListBullet"/>
      </w:pPr>
      <w:r>
        <w:rPr>
          <w:rFonts w:ascii="Aptos" w:hAnsi="Aptos"/>
          <w:b w:val="0"/>
          <w:i w:val="0"/>
          <w:color w:val="2F292B"/>
          <w:sz w:val="21"/>
        </w:rPr>
        <w:t>9. Measurement, privacy, and acceptance standards</w:t>
      </w:r>
    </w:p>
    <w:p>
      <w:r>
        <w:br w:type="page"/>
      </w:r>
    </w:p>
    <w:p>
      <w:pPr>
        <w:pStyle w:val="Heading1"/>
      </w:pPr>
      <w:r>
        <w:t>1. Strategic audience and positioning</w:t>
      </w:r>
    </w:p>
    <w:p>
      <w:pPr>
        <w:pStyle w:val="Heading2"/>
      </w:pPr>
      <w:r>
        <w:t>Core niche</w:t>
      </w:r>
    </w:p>
    <w:p>
      <w:r>
        <w:rPr>
          <w:rFonts w:ascii="Aptos" w:hAnsi="Aptos"/>
          <w:b w:val="0"/>
          <w:i w:val="0"/>
          <w:color w:val="2F292B"/>
          <w:sz w:val="21"/>
        </w:rPr>
        <w:t>Faith-driven women physicians, scientists, healthcare professionals, educators, founders, and emerging leaders, especially ages 30–49, who are discerning calling, integrating spiritual identity with professional purpose, and navigating consequential transitions.</w:t>
      </w:r>
    </w:p>
    <w:p>
      <w:pPr>
        <w:pStyle w:val="Heading2"/>
      </w:pPr>
      <w:r>
        <w:t>Audience ladder</w:t>
      </w:r>
    </w:p>
    <w:tbl>
      <w:tblPr>
        <w:tblStyle w:val="TableGrid"/>
        <w:tblW w:type="dxa" w:w="9360"/>
        <w:jc w:val="center"/>
        <w:tblLayout w:type="fixed"/>
        <w:tblLook w:firstColumn="1" w:firstRow="1" w:lastColumn="0" w:lastRow="0" w:noHBand="0" w:noVBand="1" w:val="04A0"/>
        <w:tblInd w:w="140" w:type="dxa"/>
      </w:tblPr>
      <w:tblGrid>
        <w:gridCol w:w="1650"/>
        <w:gridCol w:w="3470"/>
        <w:gridCol w:w="4240"/>
      </w:tblGrid>
      <w:tr>
        <w:trPr>
          <w:tblHeader w:val="true"/>
        </w:trPr>
        <w:tc>
          <w:tcPr>
            <w:tcW w:type="dxa" w:w="1650"/>
            <w:tcMar>
              <w:top w:w="100" w:type="dxa"/>
              <w:start w:w="140" w:type="dxa"/>
              <w:bottom w:w="100" w:type="dxa"/>
              <w:end w:w="140" w:type="dxa"/>
            </w:tcMar>
            <w:shd w:fill="762631"/>
            <w:vAlign w:val="center"/>
          </w:tcPr>
          <w:p>
            <w:r>
              <w:rPr>
                <w:rFonts w:ascii="Aptos" w:hAnsi="Aptos"/>
                <w:b/>
                <w:i w:val="0"/>
                <w:color w:val="FFFFFF"/>
                <w:sz w:val="18"/>
              </w:rPr>
              <w:t>Audience layer</w:t>
            </w:r>
          </w:p>
        </w:tc>
        <w:tc>
          <w:tcPr>
            <w:tcW w:type="dxa" w:w="3470"/>
            <w:tcMar>
              <w:top w:w="100" w:type="dxa"/>
              <w:start w:w="140" w:type="dxa"/>
              <w:bottom w:w="100" w:type="dxa"/>
              <w:end w:w="140" w:type="dxa"/>
            </w:tcMar>
            <w:shd w:fill="762631"/>
            <w:vAlign w:val="center"/>
          </w:tcPr>
          <w:p>
            <w:r>
              <w:rPr>
                <w:rFonts w:ascii="Aptos" w:hAnsi="Aptos"/>
                <w:b/>
                <w:i w:val="0"/>
                <w:color w:val="FFFFFF"/>
                <w:sz w:val="18"/>
              </w:rPr>
              <w:t>People served</w:t>
            </w:r>
          </w:p>
        </w:tc>
        <w:tc>
          <w:tcPr>
            <w:tcW w:type="dxa" w:w="4240"/>
            <w:tcMar>
              <w:top w:w="100" w:type="dxa"/>
              <w:start w:w="140" w:type="dxa"/>
              <w:bottom w:w="100" w:type="dxa"/>
              <w:end w:w="140" w:type="dxa"/>
            </w:tcMar>
            <w:shd w:fill="762631"/>
            <w:vAlign w:val="center"/>
          </w:tcPr>
          <w:p>
            <w:r>
              <w:rPr>
                <w:rFonts w:ascii="Aptos" w:hAnsi="Aptos"/>
                <w:b/>
                <w:i w:val="0"/>
                <w:color w:val="FFFFFF"/>
                <w:sz w:val="18"/>
              </w:rPr>
              <w:t>Primary need</w:t>
            </w:r>
          </w:p>
        </w:tc>
      </w:tr>
      <w:tr>
        <w:tc>
          <w:tcPr>
            <w:tcW w:type="dxa" w:w="1650"/>
            <w:vAlign w:val="center"/>
            <w:tcMar>
              <w:top w:w="100" w:type="dxa"/>
              <w:start w:w="140" w:type="dxa"/>
              <w:bottom w:w="100" w:type="dxa"/>
              <w:end w:w="140" w:type="dxa"/>
            </w:tcMar>
          </w:tcPr>
          <w:p>
            <w:r>
              <w:rPr>
                <w:rFonts w:ascii="Aptos" w:hAnsi="Aptos"/>
                <w:b w:val="0"/>
                <w:i w:val="0"/>
                <w:color w:val="2F292B"/>
                <w:sz w:val="18"/>
              </w:rPr>
              <w:t>Core</w:t>
            </w:r>
          </w:p>
        </w:tc>
        <w:tc>
          <w:tcPr>
            <w:tcW w:type="dxa" w:w="3470"/>
            <w:vAlign w:val="center"/>
            <w:tcMar>
              <w:top w:w="100" w:type="dxa"/>
              <w:start w:w="140" w:type="dxa"/>
              <w:bottom w:w="100" w:type="dxa"/>
              <w:end w:w="140" w:type="dxa"/>
            </w:tcMar>
          </w:tcPr>
          <w:p>
            <w:r>
              <w:rPr>
                <w:rFonts w:ascii="Aptos" w:hAnsi="Aptos"/>
                <w:b w:val="0"/>
                <w:i w:val="0"/>
                <w:color w:val="2F292B"/>
                <w:sz w:val="18"/>
              </w:rPr>
              <w:t>Christian women physicians, scientists, clinicians, researchers, trainees, healthcare educators, administrators, and innovators</w:t>
            </w:r>
          </w:p>
        </w:tc>
        <w:tc>
          <w:tcPr>
            <w:tcW w:type="dxa" w:w="4240"/>
            <w:vAlign w:val="center"/>
            <w:tcMar>
              <w:top w:w="100" w:type="dxa"/>
              <w:start w:w="140" w:type="dxa"/>
              <w:bottom w:w="100" w:type="dxa"/>
              <w:end w:w="140" w:type="dxa"/>
            </w:tcMar>
          </w:tcPr>
          <w:p>
            <w:r>
              <w:rPr>
                <w:rFonts w:ascii="Aptos" w:hAnsi="Aptos"/>
                <w:b w:val="0"/>
                <w:i w:val="0"/>
                <w:color w:val="2F292B"/>
                <w:sz w:val="18"/>
              </w:rPr>
              <w:t>Language and practices for integrating professional preparation, faith, responsibility, transition, and calling</w:t>
            </w:r>
          </w:p>
        </w:tc>
      </w:tr>
      <w:tr>
        <w:tc>
          <w:tcPr>
            <w:tcW w:type="dxa" w:w="1650"/>
            <w:vAlign w:val="center"/>
            <w:tcMar>
              <w:top w:w="100" w:type="dxa"/>
              <w:start w:w="140" w:type="dxa"/>
              <w:bottom w:w="100" w:type="dxa"/>
              <w:end w:w="140" w:type="dxa"/>
            </w:tcMar>
          </w:tcPr>
          <w:p>
            <w:r>
              <w:rPr>
                <w:rFonts w:ascii="Aptos" w:hAnsi="Aptos"/>
                <w:b w:val="0"/>
                <w:i w:val="0"/>
                <w:color w:val="2F292B"/>
                <w:sz w:val="18"/>
              </w:rPr>
              <w:t>Expansion</w:t>
            </w:r>
          </w:p>
        </w:tc>
        <w:tc>
          <w:tcPr>
            <w:tcW w:type="dxa" w:w="3470"/>
            <w:vAlign w:val="center"/>
            <w:tcMar>
              <w:top w:w="100" w:type="dxa"/>
              <w:start w:w="140" w:type="dxa"/>
              <w:bottom w:w="100" w:type="dxa"/>
              <w:end w:w="140" w:type="dxa"/>
            </w:tcMar>
          </w:tcPr>
          <w:p>
            <w:r>
              <w:rPr>
                <w:rFonts w:ascii="Aptos" w:hAnsi="Aptos"/>
                <w:b w:val="0"/>
                <w:i w:val="0"/>
                <w:color w:val="2F292B"/>
                <w:sz w:val="18"/>
              </w:rPr>
              <w:t>Faith-driven women across academia, technology, entrepreneurship, business, ministry, policy, and government</w:t>
            </w:r>
          </w:p>
        </w:tc>
        <w:tc>
          <w:tcPr>
            <w:tcW w:type="dxa" w:w="4240"/>
            <w:vAlign w:val="center"/>
            <w:tcMar>
              <w:top w:w="100" w:type="dxa"/>
              <w:start w:w="140" w:type="dxa"/>
              <w:bottom w:w="100" w:type="dxa"/>
              <w:end w:w="140" w:type="dxa"/>
            </w:tcMar>
          </w:tcPr>
          <w:p>
            <w:r>
              <w:rPr>
                <w:rFonts w:ascii="Aptos" w:hAnsi="Aptos"/>
                <w:b w:val="0"/>
                <w:i w:val="0"/>
                <w:color w:val="2F292B"/>
                <w:sz w:val="18"/>
              </w:rPr>
              <w:t>Discernment, identity integration, stewardship, and faithful movement through widening influence</w:t>
            </w:r>
          </w:p>
        </w:tc>
      </w:tr>
      <w:tr>
        <w:tc>
          <w:tcPr>
            <w:tcW w:type="dxa" w:w="1650"/>
            <w:vAlign w:val="center"/>
            <w:tcMar>
              <w:top w:w="100" w:type="dxa"/>
              <w:start w:w="140" w:type="dxa"/>
              <w:bottom w:w="100" w:type="dxa"/>
              <w:end w:w="140" w:type="dxa"/>
            </w:tcMar>
          </w:tcPr>
          <w:p>
            <w:r>
              <w:rPr>
                <w:rFonts w:ascii="Aptos" w:hAnsi="Aptos"/>
                <w:b w:val="0"/>
                <w:i w:val="0"/>
                <w:color w:val="2F292B"/>
                <w:sz w:val="18"/>
              </w:rPr>
              <w:t>Broader</w:t>
            </w:r>
          </w:p>
        </w:tc>
        <w:tc>
          <w:tcPr>
            <w:tcW w:type="dxa" w:w="3470"/>
            <w:vAlign w:val="center"/>
            <w:tcMar>
              <w:top w:w="100" w:type="dxa"/>
              <w:start w:w="140" w:type="dxa"/>
              <w:bottom w:w="100" w:type="dxa"/>
              <w:end w:w="140" w:type="dxa"/>
            </w:tcMar>
          </w:tcPr>
          <w:p>
            <w:r>
              <w:rPr>
                <w:rFonts w:ascii="Aptos" w:hAnsi="Aptos"/>
                <w:b w:val="0"/>
                <w:i w:val="0"/>
                <w:color w:val="2F292B"/>
                <w:sz w:val="18"/>
              </w:rPr>
              <w:t>Spiritually curious high achievers and thoughtful adults in transition</w:t>
            </w:r>
          </w:p>
        </w:tc>
        <w:tc>
          <w:tcPr>
            <w:tcW w:type="dxa" w:w="4240"/>
            <w:vAlign w:val="center"/>
            <w:tcMar>
              <w:top w:w="100" w:type="dxa"/>
              <w:start w:w="140" w:type="dxa"/>
              <w:bottom w:w="100" w:type="dxa"/>
              <w:end w:w="140" w:type="dxa"/>
            </w:tcMar>
          </w:tcPr>
          <w:p>
            <w:r>
              <w:rPr>
                <w:rFonts w:ascii="Aptos" w:hAnsi="Aptos"/>
                <w:b w:val="0"/>
                <w:i w:val="0"/>
                <w:color w:val="2F292B"/>
                <w:sz w:val="18"/>
              </w:rPr>
              <w:t>Clarity about purpose, values, identity, resilience, and the next deliberate step</w:t>
            </w:r>
          </w:p>
        </w:tc>
      </w:tr>
    </w:tbl>
    <w:p/>
    <w:p>
      <w:pPr>
        <w:pStyle w:val="Heading2"/>
      </w:pPr>
      <w:r>
        <w:t>Reader promise</w:t>
      </w:r>
    </w:p>
    <w:tbl>
      <w:tblPr>
        <w:tblW w:type="dxa" w:w="9360"/>
        <w:jc w:val="center"/>
        <w:tblLayout w:type="fixed"/>
        <w:tblLook w:firstColumn="1" w:firstRow="1" w:lastColumn="0" w:lastRow="0" w:noHBand="0" w:noVBand="1" w:val="04A0"/>
        <w:tblInd w:w="140" w:type="dxa"/>
      </w:tblPr>
      <w:tblGrid>
        <w:gridCol w:w="9360"/>
      </w:tblGrid>
      <w:tr>
        <w:tc>
          <w:tcPr>
            <w:tcW w:type="dxa" w:w="9360"/>
            <w:tcMar>
              <w:top w:w="100" w:type="dxa"/>
              <w:start w:w="140" w:type="dxa"/>
              <w:bottom w:w="100" w:type="dxa"/>
              <w:end w:w="140" w:type="dxa"/>
            </w:tcMar>
            <w:shd w:fill="F5E4E4"/>
          </w:tcPr>
          <w:p>
            <w:r>
              <w:rPr>
                <w:rFonts w:ascii="Aptos" w:hAnsi="Aptos"/>
                <w:b/>
                <w:i w:val="0"/>
                <w:color w:val="B78B3F"/>
                <w:sz w:val="18"/>
              </w:rPr>
              <w:t xml:space="preserve">POSITIONING  </w:t>
            </w:r>
            <w:r>
              <w:rPr>
                <w:rFonts w:ascii="Georgia" w:hAnsi="Georgia"/>
                <w:b w:val="0"/>
                <w:i/>
                <w:color w:val="32181F"/>
                <w:sz w:val="22"/>
              </w:rPr>
              <w:t>Books and immersive listening experiences for accomplished women discerning how professional preparation, spiritual formation, and lived experience converge into calling.</w:t>
            </w:r>
          </w:p>
        </w:tc>
      </w:tr>
    </w:tbl>
    <w:p/>
    <w:p>
      <w:pPr>
        <w:pStyle w:val="Heading2"/>
      </w:pPr>
      <w:r>
        <w:t>Distinctive authority</w:t>
      </w:r>
    </w:p>
    <w:p>
      <w:pPr>
        <w:pStyle w:val="ListBullet"/>
      </w:pPr>
      <w:r>
        <w:rPr>
          <w:rFonts w:ascii="Aptos" w:hAnsi="Aptos"/>
          <w:b w:val="0"/>
          <w:i w:val="0"/>
          <w:color w:val="2F292B"/>
          <w:sz w:val="21"/>
        </w:rPr>
        <w:t>Physician-scientist credibility and more than two decades of research and academic experience.</w:t>
      </w:r>
    </w:p>
    <w:p>
      <w:pPr>
        <w:pStyle w:val="ListBullet"/>
      </w:pPr>
      <w:r>
        <w:rPr>
          <w:rFonts w:ascii="Aptos" w:hAnsi="Aptos"/>
          <w:b w:val="0"/>
          <w:i w:val="0"/>
          <w:color w:val="2F292B"/>
          <w:sz w:val="21"/>
        </w:rPr>
        <w:t>Lived leadership across clinical care, preventive cardiology, cardio-oncology, education, innovation, entrepreneurship, and national telecardiology.</w:t>
      </w:r>
    </w:p>
    <w:p>
      <w:pPr>
        <w:pStyle w:val="ListBullet"/>
      </w:pPr>
      <w:r>
        <w:rPr>
          <w:rFonts w:ascii="Aptos" w:hAnsi="Aptos"/>
          <w:b w:val="0"/>
          <w:i w:val="0"/>
          <w:color w:val="2F292B"/>
          <w:sz w:val="21"/>
        </w:rPr>
        <w:t>Christian faith, prophetic formation, Scripture-shaped reflection, and mature language for discernment.</w:t>
      </w:r>
    </w:p>
    <w:p>
      <w:pPr>
        <w:pStyle w:val="ListBullet"/>
      </w:pPr>
      <w:r>
        <w:rPr>
          <w:rFonts w:ascii="Aptos" w:hAnsi="Aptos"/>
          <w:b w:val="0"/>
          <w:i w:val="0"/>
          <w:color w:val="2F292B"/>
          <w:sz w:val="21"/>
        </w:rPr>
        <w:t>Personal testimony carried with intellectual honesty, emotional restraint, humility, and room for testing and maturation.</w:t>
      </w:r>
    </w:p>
    <w:p>
      <w:pPr>
        <w:pStyle w:val="ListBullet"/>
      </w:pPr>
      <w:r>
        <w:rPr>
          <w:rFonts w:ascii="Aptos" w:hAnsi="Aptos"/>
          <w:b w:val="0"/>
          <w:i w:val="0"/>
          <w:color w:val="2F292B"/>
          <w:sz w:val="21"/>
        </w:rPr>
        <w:t>A connected ecosystem of books, workbooks, digital reading rooms, facilitated circles, Sites, courses, internships, and missional work.</w:t>
      </w:r>
    </w:p>
    <w:p>
      <w:pPr>
        <w:pStyle w:val="Heading2"/>
      </w:pPr>
      <w:r>
        <w:t>Messaging pillars</w:t>
      </w:r>
    </w:p>
    <w:tbl>
      <w:tblPr>
        <w:tblStyle w:val="TableGrid"/>
        <w:tblW w:type="dxa" w:w="9360"/>
        <w:jc w:val="center"/>
        <w:tblLayout w:type="fixed"/>
        <w:tblLook w:firstColumn="1" w:firstRow="1" w:lastColumn="0" w:lastRow="0" w:noHBand="0" w:noVBand="1" w:val="04A0"/>
        <w:tblInd w:w="140" w:type="dxa"/>
      </w:tblPr>
      <w:tblGrid>
        <w:gridCol w:w="2150"/>
        <w:gridCol w:w="4550"/>
        <w:gridCol w:w="2660"/>
      </w:tblGrid>
      <w:tr>
        <w:trPr>
          <w:tblHeader w:val="true"/>
        </w:trPr>
        <w:tc>
          <w:tcPr>
            <w:tcW w:type="dxa" w:w="2150"/>
            <w:tcMar>
              <w:top w:w="100" w:type="dxa"/>
              <w:start w:w="140" w:type="dxa"/>
              <w:bottom w:w="100" w:type="dxa"/>
              <w:end w:w="140" w:type="dxa"/>
            </w:tcMar>
            <w:shd w:fill="762631"/>
            <w:vAlign w:val="center"/>
          </w:tcPr>
          <w:p>
            <w:r>
              <w:rPr>
                <w:rFonts w:ascii="Aptos" w:hAnsi="Aptos"/>
                <w:b/>
                <w:i w:val="0"/>
                <w:color w:val="FFFFFF"/>
                <w:sz w:val="18"/>
              </w:rPr>
              <w:t>Pillar</w:t>
            </w:r>
          </w:p>
        </w:tc>
        <w:tc>
          <w:tcPr>
            <w:tcW w:type="dxa" w:w="4550"/>
            <w:tcMar>
              <w:top w:w="100" w:type="dxa"/>
              <w:start w:w="140" w:type="dxa"/>
              <w:bottom w:w="100" w:type="dxa"/>
              <w:end w:w="140" w:type="dxa"/>
            </w:tcMar>
            <w:shd w:fill="762631"/>
            <w:vAlign w:val="center"/>
          </w:tcPr>
          <w:p>
            <w:r>
              <w:rPr>
                <w:rFonts w:ascii="Aptos" w:hAnsi="Aptos"/>
                <w:b/>
                <w:i w:val="0"/>
                <w:color w:val="FFFFFF"/>
                <w:sz w:val="18"/>
              </w:rPr>
              <w:t>Message</w:t>
            </w:r>
          </w:p>
        </w:tc>
        <w:tc>
          <w:tcPr>
            <w:tcW w:type="dxa" w:w="2660"/>
            <w:tcMar>
              <w:top w:w="100" w:type="dxa"/>
              <w:start w:w="140" w:type="dxa"/>
              <w:bottom w:w="100" w:type="dxa"/>
              <w:end w:w="140" w:type="dxa"/>
            </w:tcMar>
            <w:shd w:fill="762631"/>
            <w:vAlign w:val="center"/>
          </w:tcPr>
          <w:p>
            <w:r>
              <w:rPr>
                <w:rFonts w:ascii="Aptos" w:hAnsi="Aptos"/>
                <w:b/>
                <w:i w:val="0"/>
                <w:color w:val="FFFFFF"/>
                <w:sz w:val="18"/>
              </w:rPr>
              <w:t>Reader movement</w:t>
            </w:r>
          </w:p>
        </w:tc>
      </w:tr>
      <w:tr>
        <w:tc>
          <w:tcPr>
            <w:tcW w:type="dxa" w:w="2150"/>
            <w:vAlign w:val="center"/>
            <w:tcMar>
              <w:top w:w="100" w:type="dxa"/>
              <w:start w:w="140" w:type="dxa"/>
              <w:bottom w:w="100" w:type="dxa"/>
              <w:end w:w="140" w:type="dxa"/>
            </w:tcMar>
          </w:tcPr>
          <w:p>
            <w:r>
              <w:rPr>
                <w:rFonts w:ascii="Aptos" w:hAnsi="Aptos"/>
                <w:b w:val="0"/>
                <w:i w:val="0"/>
                <w:color w:val="2F292B"/>
                <w:sz w:val="18"/>
              </w:rPr>
              <w:t>Calling</w:t>
            </w:r>
          </w:p>
        </w:tc>
        <w:tc>
          <w:tcPr>
            <w:tcW w:type="dxa" w:w="4550"/>
            <w:vAlign w:val="center"/>
            <w:tcMar>
              <w:top w:w="100" w:type="dxa"/>
              <w:start w:w="140" w:type="dxa"/>
              <w:bottom w:w="100" w:type="dxa"/>
              <w:end w:w="140" w:type="dxa"/>
            </w:tcMar>
          </w:tcPr>
          <w:p>
            <w:r>
              <w:rPr>
                <w:rFonts w:ascii="Aptos" w:hAnsi="Aptos"/>
                <w:b w:val="0"/>
                <w:i w:val="0"/>
                <w:color w:val="2F292B"/>
                <w:sz w:val="18"/>
              </w:rPr>
              <w:t>Your preparation may carry meaning beyond the role that first received it.</w:t>
            </w:r>
          </w:p>
        </w:tc>
        <w:tc>
          <w:tcPr>
            <w:tcW w:type="dxa" w:w="2660"/>
            <w:vAlign w:val="center"/>
            <w:tcMar>
              <w:top w:w="100" w:type="dxa"/>
              <w:start w:w="140" w:type="dxa"/>
              <w:bottom w:w="100" w:type="dxa"/>
              <w:end w:w="140" w:type="dxa"/>
            </w:tcMar>
          </w:tcPr>
          <w:p>
            <w:r>
              <w:rPr>
                <w:rFonts w:ascii="Aptos" w:hAnsi="Aptos"/>
                <w:b w:val="0"/>
                <w:i w:val="0"/>
                <w:color w:val="2F292B"/>
                <w:sz w:val="18"/>
              </w:rPr>
              <w:t>From scattered experience to recognized pattern</w:t>
            </w:r>
          </w:p>
        </w:tc>
      </w:tr>
      <w:tr>
        <w:tc>
          <w:tcPr>
            <w:tcW w:type="dxa" w:w="2150"/>
            <w:vAlign w:val="center"/>
            <w:tcMar>
              <w:top w:w="100" w:type="dxa"/>
              <w:start w:w="140" w:type="dxa"/>
              <w:bottom w:w="100" w:type="dxa"/>
              <w:end w:w="140" w:type="dxa"/>
            </w:tcMar>
          </w:tcPr>
          <w:p>
            <w:r>
              <w:rPr>
                <w:rFonts w:ascii="Aptos" w:hAnsi="Aptos"/>
                <w:b w:val="0"/>
                <w:i w:val="0"/>
                <w:color w:val="2F292B"/>
                <w:sz w:val="18"/>
              </w:rPr>
              <w:t>Integration</w:t>
            </w:r>
          </w:p>
        </w:tc>
        <w:tc>
          <w:tcPr>
            <w:tcW w:type="dxa" w:w="4550"/>
            <w:vAlign w:val="center"/>
            <w:tcMar>
              <w:top w:w="100" w:type="dxa"/>
              <w:start w:w="140" w:type="dxa"/>
              <w:bottom w:w="100" w:type="dxa"/>
              <w:end w:w="140" w:type="dxa"/>
            </w:tcMar>
          </w:tcPr>
          <w:p>
            <w:r>
              <w:rPr>
                <w:rFonts w:ascii="Aptos" w:hAnsi="Aptos"/>
                <w:b w:val="0"/>
                <w:i w:val="0"/>
                <w:color w:val="2F292B"/>
                <w:sz w:val="18"/>
              </w:rPr>
              <w:t>Faith, intellect, professional responsibility, desire, grief, and transition can be held in one honest conversation.</w:t>
            </w:r>
          </w:p>
        </w:tc>
        <w:tc>
          <w:tcPr>
            <w:tcW w:type="dxa" w:w="2660"/>
            <w:vAlign w:val="center"/>
            <w:tcMar>
              <w:top w:w="100" w:type="dxa"/>
              <w:start w:w="140" w:type="dxa"/>
              <w:bottom w:w="100" w:type="dxa"/>
              <w:end w:w="140" w:type="dxa"/>
            </w:tcMar>
          </w:tcPr>
          <w:p>
            <w:r>
              <w:rPr>
                <w:rFonts w:ascii="Aptos" w:hAnsi="Aptos"/>
                <w:b w:val="0"/>
                <w:i w:val="0"/>
                <w:color w:val="2F292B"/>
                <w:sz w:val="18"/>
              </w:rPr>
              <w:t>From compartmentalization to coherence</w:t>
            </w:r>
          </w:p>
        </w:tc>
      </w:tr>
      <w:tr>
        <w:tc>
          <w:tcPr>
            <w:tcW w:type="dxa" w:w="2150"/>
            <w:vAlign w:val="center"/>
            <w:tcMar>
              <w:top w:w="100" w:type="dxa"/>
              <w:start w:w="140" w:type="dxa"/>
              <w:bottom w:w="100" w:type="dxa"/>
              <w:end w:w="140" w:type="dxa"/>
            </w:tcMar>
          </w:tcPr>
          <w:p>
            <w:r>
              <w:rPr>
                <w:rFonts w:ascii="Aptos" w:hAnsi="Aptos"/>
                <w:b w:val="0"/>
                <w:i w:val="0"/>
                <w:color w:val="2F292B"/>
                <w:sz w:val="18"/>
              </w:rPr>
              <w:t>Stewardship</w:t>
            </w:r>
          </w:p>
        </w:tc>
        <w:tc>
          <w:tcPr>
            <w:tcW w:type="dxa" w:w="4550"/>
            <w:vAlign w:val="center"/>
            <w:tcMar>
              <w:top w:w="100" w:type="dxa"/>
              <w:start w:w="140" w:type="dxa"/>
              <w:bottom w:w="100" w:type="dxa"/>
              <w:end w:w="140" w:type="dxa"/>
            </w:tcMar>
          </w:tcPr>
          <w:p>
            <w:r>
              <w:rPr>
                <w:rFonts w:ascii="Aptos" w:hAnsi="Aptos"/>
                <w:b w:val="0"/>
                <w:i w:val="0"/>
                <w:color w:val="2F292B"/>
                <w:sz w:val="18"/>
              </w:rPr>
              <w:t>Clarity gains substance through one faithful, practical response.</w:t>
            </w:r>
          </w:p>
        </w:tc>
        <w:tc>
          <w:tcPr>
            <w:tcW w:type="dxa" w:w="2660"/>
            <w:vAlign w:val="center"/>
            <w:tcMar>
              <w:top w:w="100" w:type="dxa"/>
              <w:start w:w="140" w:type="dxa"/>
              <w:bottom w:w="100" w:type="dxa"/>
              <w:end w:w="140" w:type="dxa"/>
            </w:tcMar>
          </w:tcPr>
          <w:p>
            <w:r>
              <w:rPr>
                <w:rFonts w:ascii="Aptos" w:hAnsi="Aptos"/>
                <w:b w:val="0"/>
                <w:i w:val="0"/>
                <w:color w:val="2F292B"/>
                <w:sz w:val="18"/>
              </w:rPr>
              <w:t>From insight to action</w:t>
            </w:r>
          </w:p>
        </w:tc>
      </w:tr>
      <w:tr>
        <w:tc>
          <w:tcPr>
            <w:tcW w:type="dxa" w:w="2150"/>
            <w:vAlign w:val="center"/>
            <w:tcMar>
              <w:top w:w="100" w:type="dxa"/>
              <w:start w:w="140" w:type="dxa"/>
              <w:bottom w:w="100" w:type="dxa"/>
              <w:end w:w="140" w:type="dxa"/>
            </w:tcMar>
          </w:tcPr>
          <w:p>
            <w:r>
              <w:rPr>
                <w:rFonts w:ascii="Aptos" w:hAnsi="Aptos"/>
                <w:b w:val="0"/>
                <w:i w:val="0"/>
                <w:color w:val="2F292B"/>
                <w:sz w:val="18"/>
              </w:rPr>
              <w:t>Companionship</w:t>
            </w:r>
          </w:p>
        </w:tc>
        <w:tc>
          <w:tcPr>
            <w:tcW w:type="dxa" w:w="4550"/>
            <w:vAlign w:val="center"/>
            <w:tcMar>
              <w:top w:w="100" w:type="dxa"/>
              <w:start w:w="140" w:type="dxa"/>
              <w:bottom w:w="100" w:type="dxa"/>
              <w:end w:w="140" w:type="dxa"/>
            </w:tcMar>
          </w:tcPr>
          <w:p>
            <w:r>
              <w:rPr>
                <w:rFonts w:ascii="Aptos" w:hAnsi="Aptos"/>
                <w:b w:val="0"/>
                <w:i w:val="0"/>
                <w:color w:val="2F292B"/>
                <w:sz w:val="18"/>
              </w:rPr>
              <w:t>A capable life can still need a generous place to listen, question, and unfold.</w:t>
            </w:r>
          </w:p>
        </w:tc>
        <w:tc>
          <w:tcPr>
            <w:tcW w:type="dxa" w:w="2660"/>
            <w:vAlign w:val="center"/>
            <w:tcMar>
              <w:top w:w="100" w:type="dxa"/>
              <w:start w:w="140" w:type="dxa"/>
              <w:bottom w:w="100" w:type="dxa"/>
              <w:end w:w="140" w:type="dxa"/>
            </w:tcMar>
          </w:tcPr>
          <w:p>
            <w:r>
              <w:rPr>
                <w:rFonts w:ascii="Aptos" w:hAnsi="Aptos"/>
                <w:b w:val="0"/>
                <w:i w:val="0"/>
                <w:color w:val="2F292B"/>
                <w:sz w:val="18"/>
              </w:rPr>
              <w:t>From private burden to supported reflection</w:t>
            </w:r>
          </w:p>
        </w:tc>
      </w:tr>
    </w:tbl>
    <w:p/>
    <w:p>
      <w:pPr>
        <w:pStyle w:val="Heading1"/>
      </w:pPr>
      <w:r>
        <w:t>2. Evidence and format implications</w:t>
      </w:r>
    </w:p>
    <w:p>
      <w:r>
        <w:rPr>
          <w:rFonts w:ascii="Aptos" w:hAnsi="Aptos"/>
          <w:b w:val="0"/>
          <w:i w:val="0"/>
          <w:color w:val="2F292B"/>
          <w:sz w:val="21"/>
        </w:rPr>
        <w:t>Pew Research Center data collected in October 2025 show that print remains broadly used while e-book and audiobook engagement rises among adults under 50 and college graduates. Adults ages 18–29 reported the highest e-book use; adults ages 30–49 reported the highest audiobook use; college graduates showed the strongest overall digital engagement. These measures overlap because many readers use several formats.</w:t>
      </w:r>
    </w:p>
    <w:tbl>
      <w:tblPr>
        <w:tblStyle w:val="TableGrid"/>
        <w:tblW w:type="dxa" w:w="9360"/>
        <w:jc w:val="center"/>
        <w:tblLayout w:type="fixed"/>
        <w:tblLook w:firstColumn="1" w:firstRow="1" w:lastColumn="0" w:lastRow="0" w:noHBand="0" w:noVBand="1" w:val="04A0"/>
        <w:tblInd w:w="140" w:type="dxa"/>
      </w:tblPr>
      <w:tblGrid>
        <w:gridCol w:w="3600"/>
        <w:gridCol w:w="1920"/>
        <w:gridCol w:w="1920"/>
        <w:gridCol w:w="1920"/>
      </w:tblGrid>
      <w:tr>
        <w:trPr>
          <w:tblHeader w:val="true"/>
        </w:trPr>
        <w:tc>
          <w:tcPr>
            <w:tcW w:type="dxa" w:w="3600"/>
            <w:tcMar>
              <w:top w:w="100" w:type="dxa"/>
              <w:start w:w="140" w:type="dxa"/>
              <w:bottom w:w="100" w:type="dxa"/>
              <w:end w:w="140" w:type="dxa"/>
            </w:tcMar>
            <w:shd w:fill="762631"/>
            <w:vAlign w:val="center"/>
          </w:tcPr>
          <w:p>
            <w:r>
              <w:rPr>
                <w:rFonts w:ascii="Aptos" w:hAnsi="Aptos"/>
                <w:b/>
                <w:i w:val="0"/>
                <w:color w:val="FFFFFF"/>
                <w:sz w:val="18"/>
              </w:rPr>
              <w:t>Audience</w:t>
            </w:r>
          </w:p>
        </w:tc>
        <w:tc>
          <w:tcPr>
            <w:tcW w:type="dxa" w:w="1920"/>
            <w:tcMar>
              <w:top w:w="100" w:type="dxa"/>
              <w:start w:w="140" w:type="dxa"/>
              <w:bottom w:w="100" w:type="dxa"/>
              <w:end w:w="140" w:type="dxa"/>
            </w:tcMar>
            <w:shd w:fill="762631"/>
            <w:vAlign w:val="center"/>
          </w:tcPr>
          <w:p>
            <w:r>
              <w:rPr>
                <w:rFonts w:ascii="Aptos" w:hAnsi="Aptos"/>
                <w:b/>
                <w:i w:val="0"/>
                <w:color w:val="FFFFFF"/>
                <w:sz w:val="18"/>
              </w:rPr>
              <w:t>Print</w:t>
            </w:r>
          </w:p>
        </w:tc>
        <w:tc>
          <w:tcPr>
            <w:tcW w:type="dxa" w:w="1920"/>
            <w:tcMar>
              <w:top w:w="100" w:type="dxa"/>
              <w:start w:w="140" w:type="dxa"/>
              <w:bottom w:w="100" w:type="dxa"/>
              <w:end w:w="140" w:type="dxa"/>
            </w:tcMar>
            <w:shd w:fill="762631"/>
            <w:vAlign w:val="center"/>
          </w:tcPr>
          <w:p>
            <w:r>
              <w:rPr>
                <w:rFonts w:ascii="Aptos" w:hAnsi="Aptos"/>
                <w:b/>
                <w:i w:val="0"/>
                <w:color w:val="FFFFFF"/>
                <w:sz w:val="18"/>
              </w:rPr>
              <w:t>E-book</w:t>
            </w:r>
          </w:p>
        </w:tc>
        <w:tc>
          <w:tcPr>
            <w:tcW w:type="dxa" w:w="1920"/>
            <w:tcMar>
              <w:top w:w="100" w:type="dxa"/>
              <w:start w:w="140" w:type="dxa"/>
              <w:bottom w:w="100" w:type="dxa"/>
              <w:end w:w="140" w:type="dxa"/>
            </w:tcMar>
            <w:shd w:fill="762631"/>
            <w:vAlign w:val="center"/>
          </w:tcPr>
          <w:p>
            <w:r>
              <w:rPr>
                <w:rFonts w:ascii="Aptos" w:hAnsi="Aptos"/>
                <w:b/>
                <w:i w:val="0"/>
                <w:color w:val="FFFFFF"/>
                <w:sz w:val="18"/>
              </w:rPr>
              <w:t>Audiobook</w:t>
            </w:r>
          </w:p>
        </w:tc>
      </w:tr>
      <w:tr>
        <w:tc>
          <w:tcPr>
            <w:tcW w:type="dxa" w:w="3600"/>
            <w:vAlign w:val="center"/>
            <w:tcMar>
              <w:top w:w="100" w:type="dxa"/>
              <w:start w:w="140" w:type="dxa"/>
              <w:bottom w:w="100" w:type="dxa"/>
              <w:end w:w="140" w:type="dxa"/>
            </w:tcMar>
          </w:tcPr>
          <w:p>
            <w:r>
              <w:rPr>
                <w:rFonts w:ascii="Aptos" w:hAnsi="Aptos"/>
                <w:b w:val="0"/>
                <w:i w:val="0"/>
                <w:color w:val="2F292B"/>
                <w:sz w:val="18"/>
              </w:rPr>
              <w:t>Ages 18–29</w:t>
            </w:r>
          </w:p>
        </w:tc>
        <w:tc>
          <w:tcPr>
            <w:tcW w:type="dxa" w:w="1920"/>
            <w:vAlign w:val="center"/>
            <w:tcMar>
              <w:top w:w="100" w:type="dxa"/>
              <w:start w:w="140" w:type="dxa"/>
              <w:bottom w:w="100" w:type="dxa"/>
              <w:end w:w="140" w:type="dxa"/>
            </w:tcMar>
          </w:tcPr>
          <w:p>
            <w:r>
              <w:rPr>
                <w:rFonts w:ascii="Aptos" w:hAnsi="Aptos"/>
                <w:b w:val="0"/>
                <w:i w:val="0"/>
                <w:color w:val="2F292B"/>
                <w:sz w:val="18"/>
              </w:rPr>
              <w:t>66%</w:t>
            </w:r>
          </w:p>
        </w:tc>
        <w:tc>
          <w:tcPr>
            <w:tcW w:type="dxa" w:w="1920"/>
            <w:vAlign w:val="center"/>
            <w:tcMar>
              <w:top w:w="100" w:type="dxa"/>
              <w:start w:w="140" w:type="dxa"/>
              <w:bottom w:w="100" w:type="dxa"/>
              <w:end w:w="140" w:type="dxa"/>
            </w:tcMar>
          </w:tcPr>
          <w:p>
            <w:r>
              <w:rPr>
                <w:rFonts w:ascii="Aptos" w:hAnsi="Aptos"/>
                <w:b w:val="0"/>
                <w:i w:val="0"/>
                <w:color w:val="2F292B"/>
                <w:sz w:val="18"/>
              </w:rPr>
              <w:t>41%</w:t>
            </w:r>
          </w:p>
        </w:tc>
        <w:tc>
          <w:tcPr>
            <w:tcW w:type="dxa" w:w="1920"/>
            <w:vAlign w:val="center"/>
            <w:tcMar>
              <w:top w:w="100" w:type="dxa"/>
              <w:start w:w="140" w:type="dxa"/>
              <w:bottom w:w="100" w:type="dxa"/>
              <w:end w:w="140" w:type="dxa"/>
            </w:tcMar>
          </w:tcPr>
          <w:p>
            <w:r>
              <w:rPr>
                <w:rFonts w:ascii="Aptos" w:hAnsi="Aptos"/>
                <w:b w:val="0"/>
                <w:i w:val="0"/>
                <w:color w:val="2F292B"/>
                <w:sz w:val="18"/>
              </w:rPr>
              <w:t>32%</w:t>
            </w:r>
          </w:p>
        </w:tc>
      </w:tr>
      <w:tr>
        <w:tc>
          <w:tcPr>
            <w:tcW w:type="dxa" w:w="3600"/>
            <w:vAlign w:val="center"/>
            <w:tcMar>
              <w:top w:w="100" w:type="dxa"/>
              <w:start w:w="140" w:type="dxa"/>
              <w:bottom w:w="100" w:type="dxa"/>
              <w:end w:w="140" w:type="dxa"/>
            </w:tcMar>
          </w:tcPr>
          <w:p>
            <w:r>
              <w:rPr>
                <w:rFonts w:ascii="Aptos" w:hAnsi="Aptos"/>
                <w:b w:val="0"/>
                <w:i w:val="0"/>
                <w:color w:val="2F292B"/>
                <w:sz w:val="18"/>
              </w:rPr>
              <w:t>Ages 30–49</w:t>
            </w:r>
          </w:p>
        </w:tc>
        <w:tc>
          <w:tcPr>
            <w:tcW w:type="dxa" w:w="1920"/>
            <w:vAlign w:val="center"/>
            <w:tcMar>
              <w:top w:w="100" w:type="dxa"/>
              <w:start w:w="140" w:type="dxa"/>
              <w:bottom w:w="100" w:type="dxa"/>
              <w:end w:w="140" w:type="dxa"/>
            </w:tcMar>
          </w:tcPr>
          <w:p>
            <w:r>
              <w:rPr>
                <w:rFonts w:ascii="Aptos" w:hAnsi="Aptos"/>
                <w:b w:val="0"/>
                <w:i w:val="0"/>
                <w:color w:val="2F292B"/>
                <w:sz w:val="18"/>
              </w:rPr>
              <w:t>64%</w:t>
            </w:r>
          </w:p>
        </w:tc>
        <w:tc>
          <w:tcPr>
            <w:tcW w:type="dxa" w:w="1920"/>
            <w:vAlign w:val="center"/>
            <w:tcMar>
              <w:top w:w="100" w:type="dxa"/>
              <w:start w:w="140" w:type="dxa"/>
              <w:bottom w:w="100" w:type="dxa"/>
              <w:end w:w="140" w:type="dxa"/>
            </w:tcMar>
          </w:tcPr>
          <w:p>
            <w:r>
              <w:rPr>
                <w:rFonts w:ascii="Aptos" w:hAnsi="Aptos"/>
                <w:b w:val="0"/>
                <w:i w:val="0"/>
                <w:color w:val="2F292B"/>
                <w:sz w:val="18"/>
              </w:rPr>
              <w:t>33%</w:t>
            </w:r>
          </w:p>
        </w:tc>
        <w:tc>
          <w:tcPr>
            <w:tcW w:type="dxa" w:w="1920"/>
            <w:vAlign w:val="center"/>
            <w:tcMar>
              <w:top w:w="100" w:type="dxa"/>
              <w:start w:w="140" w:type="dxa"/>
              <w:bottom w:w="100" w:type="dxa"/>
              <w:end w:w="140" w:type="dxa"/>
            </w:tcMar>
          </w:tcPr>
          <w:p>
            <w:r>
              <w:rPr>
                <w:rFonts w:ascii="Aptos" w:hAnsi="Aptos"/>
                <w:b w:val="0"/>
                <w:i w:val="0"/>
                <w:color w:val="2F292B"/>
                <w:sz w:val="18"/>
              </w:rPr>
              <w:t>33%</w:t>
            </w:r>
          </w:p>
        </w:tc>
      </w:tr>
      <w:tr>
        <w:tc>
          <w:tcPr>
            <w:tcW w:type="dxa" w:w="3600"/>
            <w:vAlign w:val="center"/>
            <w:tcMar>
              <w:top w:w="100" w:type="dxa"/>
              <w:start w:w="140" w:type="dxa"/>
              <w:bottom w:w="100" w:type="dxa"/>
              <w:end w:w="140" w:type="dxa"/>
            </w:tcMar>
          </w:tcPr>
          <w:p>
            <w:r>
              <w:rPr>
                <w:rFonts w:ascii="Aptos" w:hAnsi="Aptos"/>
                <w:b w:val="0"/>
                <w:i w:val="0"/>
                <w:color w:val="2F292B"/>
                <w:sz w:val="18"/>
              </w:rPr>
              <w:t>College graduates</w:t>
            </w:r>
          </w:p>
        </w:tc>
        <w:tc>
          <w:tcPr>
            <w:tcW w:type="dxa" w:w="1920"/>
            <w:vAlign w:val="center"/>
            <w:tcMar>
              <w:top w:w="100" w:type="dxa"/>
              <w:start w:w="140" w:type="dxa"/>
              <w:bottom w:w="100" w:type="dxa"/>
              <w:end w:w="140" w:type="dxa"/>
            </w:tcMar>
          </w:tcPr>
          <w:p>
            <w:r>
              <w:rPr>
                <w:rFonts w:ascii="Aptos" w:hAnsi="Aptos"/>
                <w:b w:val="0"/>
                <w:i w:val="0"/>
                <w:color w:val="2F292B"/>
                <w:sz w:val="18"/>
              </w:rPr>
              <w:t>76%</w:t>
            </w:r>
          </w:p>
        </w:tc>
        <w:tc>
          <w:tcPr>
            <w:tcW w:type="dxa" w:w="1920"/>
            <w:vAlign w:val="center"/>
            <w:tcMar>
              <w:top w:w="100" w:type="dxa"/>
              <w:start w:w="140" w:type="dxa"/>
              <w:bottom w:w="100" w:type="dxa"/>
              <w:end w:w="140" w:type="dxa"/>
            </w:tcMar>
          </w:tcPr>
          <w:p>
            <w:r>
              <w:rPr>
                <w:rFonts w:ascii="Aptos" w:hAnsi="Aptos"/>
                <w:b w:val="0"/>
                <w:i w:val="0"/>
                <w:color w:val="2F292B"/>
                <w:sz w:val="18"/>
              </w:rPr>
              <w:t>42%</w:t>
            </w:r>
          </w:p>
        </w:tc>
        <w:tc>
          <w:tcPr>
            <w:tcW w:type="dxa" w:w="1920"/>
            <w:vAlign w:val="center"/>
            <w:tcMar>
              <w:top w:w="100" w:type="dxa"/>
              <w:start w:w="140" w:type="dxa"/>
              <w:bottom w:w="100" w:type="dxa"/>
              <w:end w:w="140" w:type="dxa"/>
            </w:tcMar>
          </w:tcPr>
          <w:p>
            <w:r>
              <w:rPr>
                <w:rFonts w:ascii="Aptos" w:hAnsi="Aptos"/>
                <w:b w:val="0"/>
                <w:i w:val="0"/>
                <w:color w:val="2F292B"/>
                <w:sz w:val="18"/>
              </w:rPr>
              <w:t>35%</w:t>
            </w:r>
          </w:p>
        </w:tc>
      </w:tr>
      <w:tr>
        <w:tc>
          <w:tcPr>
            <w:tcW w:type="dxa" w:w="3600"/>
            <w:vAlign w:val="center"/>
            <w:tcMar>
              <w:top w:w="100" w:type="dxa"/>
              <w:start w:w="140" w:type="dxa"/>
              <w:bottom w:w="100" w:type="dxa"/>
              <w:end w:w="140" w:type="dxa"/>
            </w:tcMar>
          </w:tcPr>
          <w:p>
            <w:r>
              <w:rPr>
                <w:rFonts w:ascii="Aptos" w:hAnsi="Aptos"/>
                <w:b w:val="0"/>
                <w:i w:val="0"/>
                <w:color w:val="2F292B"/>
                <w:sz w:val="18"/>
              </w:rPr>
              <w:t>Women</w:t>
            </w:r>
          </w:p>
        </w:tc>
        <w:tc>
          <w:tcPr>
            <w:tcW w:type="dxa" w:w="1920"/>
            <w:vAlign w:val="center"/>
            <w:tcMar>
              <w:top w:w="100" w:type="dxa"/>
              <w:start w:w="140" w:type="dxa"/>
              <w:bottom w:w="100" w:type="dxa"/>
              <w:end w:w="140" w:type="dxa"/>
            </w:tcMar>
          </w:tcPr>
          <w:p>
            <w:r>
              <w:rPr>
                <w:rFonts w:ascii="Aptos" w:hAnsi="Aptos"/>
                <w:b w:val="0"/>
                <w:i w:val="0"/>
                <w:color w:val="2F292B"/>
                <w:sz w:val="18"/>
              </w:rPr>
              <w:t>68%</w:t>
            </w:r>
          </w:p>
        </w:tc>
        <w:tc>
          <w:tcPr>
            <w:tcW w:type="dxa" w:w="1920"/>
            <w:vAlign w:val="center"/>
            <w:tcMar>
              <w:top w:w="100" w:type="dxa"/>
              <w:start w:w="140" w:type="dxa"/>
              <w:bottom w:w="100" w:type="dxa"/>
              <w:end w:w="140" w:type="dxa"/>
            </w:tcMar>
          </w:tcPr>
          <w:p>
            <w:r>
              <w:rPr>
                <w:rFonts w:ascii="Aptos" w:hAnsi="Aptos"/>
                <w:b w:val="0"/>
                <w:i w:val="0"/>
                <w:color w:val="2F292B"/>
                <w:sz w:val="18"/>
              </w:rPr>
              <w:t>33%</w:t>
            </w:r>
          </w:p>
        </w:tc>
        <w:tc>
          <w:tcPr>
            <w:tcW w:type="dxa" w:w="1920"/>
            <w:vAlign w:val="center"/>
            <w:tcMar>
              <w:top w:w="100" w:type="dxa"/>
              <w:start w:w="140" w:type="dxa"/>
              <w:bottom w:w="100" w:type="dxa"/>
              <w:end w:w="140" w:type="dxa"/>
            </w:tcMar>
          </w:tcPr>
          <w:p>
            <w:r>
              <w:rPr>
                <w:rFonts w:ascii="Aptos" w:hAnsi="Aptos"/>
                <w:b w:val="0"/>
                <w:i w:val="0"/>
                <w:color w:val="2F292B"/>
                <w:sz w:val="18"/>
              </w:rPr>
              <w:t>27%</w:t>
            </w:r>
          </w:p>
        </w:tc>
      </w:tr>
    </w:tbl>
    <w:p/>
    <w:p>
      <w:r>
        <w:rPr>
          <w:rFonts w:ascii="Aptos" w:hAnsi="Aptos"/>
          <w:b w:val="0"/>
          <w:i w:val="0"/>
          <w:color w:val="2F292B"/>
          <w:sz w:val="21"/>
        </w:rPr>
        <w:t>The Audio Publishers Association reported 2025 United States audiobook revenue of $2.43 billion, with listeners emphasizing multitasking, mobility, relaxation, and reduced screen exposure. The Association of American Publishers also reported continuing digital-audio growth during 2026. These findings support a multi-format model in which audio and digital access sit beside premium print.</w:t>
      </w:r>
    </w:p>
    <w:p>
      <w:pPr>
        <w:pStyle w:val="Heading2"/>
      </w:pPr>
      <w:r>
        <w:t>Format decision</w:t>
      </w:r>
    </w:p>
    <w:p>
      <w:pPr>
        <w:pStyle w:val="ListBullet"/>
      </w:pPr>
      <w:r>
        <w:rPr>
          <w:rFonts w:ascii="Aptos" w:hAnsi="Aptos"/>
          <w:b w:val="0"/>
          <w:i w:val="0"/>
          <w:color w:val="2F292B"/>
          <w:sz w:val="21"/>
        </w:rPr>
        <w:t>Lead discovery with responsive digital reading and human-voiced audio.</w:t>
      </w:r>
    </w:p>
    <w:p>
      <w:pPr>
        <w:pStyle w:val="ListBullet"/>
      </w:pPr>
      <w:r>
        <w:rPr>
          <w:rFonts w:ascii="Aptos" w:hAnsi="Aptos"/>
          <w:b w:val="0"/>
          <w:i w:val="0"/>
          <w:color w:val="2F292B"/>
          <w:sz w:val="21"/>
        </w:rPr>
        <w:t>Use Dr. Brown’s voice for signature narration, opening letters, prayers, behind-the-book context, and selected full audiobooks.</w:t>
      </w:r>
    </w:p>
    <w:p>
      <w:pPr>
        <w:pStyle w:val="ListBullet"/>
      </w:pPr>
      <w:r>
        <w:rPr>
          <w:rFonts w:ascii="Aptos" w:hAnsi="Aptos"/>
          <w:b w:val="0"/>
          <w:i w:val="0"/>
          <w:color w:val="2F292B"/>
          <w:sz w:val="21"/>
        </w:rPr>
        <w:t>Keep premium print editions available for gifting, book parties, facilitated circles, programs, commemorative releases, and readers who prefer paper.</w:t>
      </w:r>
    </w:p>
    <w:p>
      <w:pPr>
        <w:pStyle w:val="ListBullet"/>
      </w:pPr>
      <w:r>
        <w:rPr>
          <w:rFonts w:ascii="Aptos" w:hAnsi="Aptos"/>
          <w:b w:val="0"/>
          <w:i w:val="0"/>
          <w:color w:val="2F292B"/>
          <w:sz w:val="21"/>
        </w:rPr>
        <w:t>Bundle formats around the reader’s season: digital for access and search, audio for movement and screen relief, print for tactile depth and gathering.</w:t>
      </w:r>
    </w:p>
    <w:p>
      <w:pPr>
        <w:pStyle w:val="Heading2"/>
      </w:pPr>
      <w:r>
        <w:t>Source record</w:t>
      </w:r>
    </w:p>
    <w:p>
      <w:pPr>
        <w:pStyle w:val="ListBullet"/>
      </w:pPr>
      <w:r>
        <w:rPr>
          <w:rFonts w:ascii="Aptos" w:hAnsi="Aptos"/>
          <w:b w:val="0"/>
          <w:i w:val="0"/>
          <w:color w:val="2F292B"/>
          <w:sz w:val="21"/>
        </w:rPr>
        <w:t>Pew Research Center. “Americans still opt for print books over digital or audio versions; few are in book clubs.” April 9, 2026. https://www.pewresearch.org/short-reads/2026/04/09/americans-still-opt-for-print-books-over-digital-or-audio-versions-few-are-in-book-clubs/</w:t>
      </w:r>
    </w:p>
    <w:p>
      <w:pPr>
        <w:pStyle w:val="ListBullet"/>
      </w:pPr>
      <w:r>
        <w:rPr>
          <w:rFonts w:ascii="Aptos" w:hAnsi="Aptos"/>
          <w:b w:val="0"/>
          <w:i w:val="0"/>
          <w:color w:val="2F292B"/>
          <w:sz w:val="21"/>
        </w:rPr>
        <w:t>Audio Publishers Association. “APA Sales &amp; Consumer Data.” June 5, 2026. https://www.audiopub.org/surveys</w:t>
      </w:r>
    </w:p>
    <w:p>
      <w:pPr>
        <w:pStyle w:val="ListBullet"/>
      </w:pPr>
      <w:r>
        <w:rPr>
          <w:rFonts w:ascii="Aptos" w:hAnsi="Aptos"/>
          <w:b w:val="0"/>
          <w:i w:val="0"/>
          <w:color w:val="2F292B"/>
          <w:sz w:val="21"/>
        </w:rPr>
        <w:t>Association of American Publishers. “AAP May 2026 StatShot Report.” July 21, 2026. https://publishers.org/news/aap-may-2026-statshot-report-overall-publishing-industry-up-6-8-for-month-of-may-and-up-2-6-year-to-date/</w:t>
      </w:r>
    </w:p>
    <w:p>
      <w:pPr>
        <w:pStyle w:val="Heading1"/>
      </w:pPr>
      <w:r>
        <w:t>3. Additive Site ecosystem plan</w:t>
      </w:r>
    </w:p>
    <w:p>
      <w:r>
        <w:rPr>
          <w:rFonts w:ascii="Aptos" w:hAnsi="Aptos"/>
          <w:b w:val="0"/>
          <w:i w:val="0"/>
          <w:color w:val="2F292B"/>
          <w:sz w:val="21"/>
        </w:rPr>
        <w:t>The rollout uses three depths. Full pathways provide complete audience recognition, resources, and conversion journeys. Tailored invitations connect adjacent audiences to the central pathway. Central oversight records status, analytics, source ownership, and release evidence. Each Site retains its existing identity and reach.</w:t>
      </w:r>
    </w:p>
    <w:tbl>
      <w:tblPr>
        <w:tblStyle w:val="TableGrid"/>
        <w:tblW w:type="dxa" w:w="9360"/>
        <w:jc w:val="center"/>
        <w:tblLayout w:type="fixed"/>
        <w:tblLook w:firstColumn="1" w:firstRow="1" w:lastColumn="0" w:lastRow="0" w:noHBand="0" w:noVBand="1" w:val="04A0"/>
        <w:tblInd w:w="140" w:type="dxa"/>
      </w:tblPr>
      <w:tblGrid>
        <w:gridCol w:w="3000"/>
        <w:gridCol w:w="2000"/>
        <w:gridCol w:w="4360"/>
      </w:tblGrid>
      <w:tr>
        <w:trPr>
          <w:tblHeader w:val="true"/>
        </w:trPr>
        <w:tc>
          <w:tcPr>
            <w:tcW w:type="dxa" w:w="3000"/>
            <w:tcMar>
              <w:top w:w="100" w:type="dxa"/>
              <w:start w:w="140" w:type="dxa"/>
              <w:bottom w:w="100" w:type="dxa"/>
              <w:end w:w="140" w:type="dxa"/>
            </w:tcMar>
            <w:shd w:fill="762631"/>
            <w:vAlign w:val="center"/>
          </w:tcPr>
          <w:p>
            <w:r>
              <w:rPr>
                <w:rFonts w:ascii="Aptos" w:hAnsi="Aptos"/>
                <w:b/>
                <w:i w:val="0"/>
                <w:color w:val="FFFFFF"/>
                <w:sz w:val="18"/>
              </w:rPr>
              <w:t>Site</w:t>
            </w:r>
          </w:p>
        </w:tc>
        <w:tc>
          <w:tcPr>
            <w:tcW w:type="dxa" w:w="2000"/>
            <w:tcMar>
              <w:top w:w="100" w:type="dxa"/>
              <w:start w:w="140" w:type="dxa"/>
              <w:bottom w:w="100" w:type="dxa"/>
              <w:end w:w="140" w:type="dxa"/>
            </w:tcMar>
            <w:shd w:fill="762631"/>
            <w:vAlign w:val="center"/>
          </w:tcPr>
          <w:p>
            <w:r>
              <w:rPr>
                <w:rFonts w:ascii="Aptos" w:hAnsi="Aptos"/>
                <w:b/>
                <w:i w:val="0"/>
                <w:color w:val="FFFFFF"/>
                <w:sz w:val="18"/>
              </w:rPr>
              <w:t>Implementation depth</w:t>
            </w:r>
          </w:p>
        </w:tc>
        <w:tc>
          <w:tcPr>
            <w:tcW w:type="dxa" w:w="4360"/>
            <w:tcMar>
              <w:top w:w="100" w:type="dxa"/>
              <w:start w:w="140" w:type="dxa"/>
              <w:bottom w:w="100" w:type="dxa"/>
              <w:end w:w="140" w:type="dxa"/>
            </w:tcMar>
            <w:shd w:fill="762631"/>
            <w:vAlign w:val="center"/>
          </w:tcPr>
          <w:p>
            <w:r>
              <w:rPr>
                <w:rFonts w:ascii="Aptos" w:hAnsi="Aptos"/>
                <w:b/>
                <w:i w:val="0"/>
                <w:color w:val="FFFFFF"/>
                <w:sz w:val="18"/>
              </w:rPr>
              <w:t>Additive role</w:t>
            </w:r>
          </w:p>
        </w:tc>
      </w:tr>
      <w:tr>
        <w:tc>
          <w:tcPr>
            <w:tcW w:type="dxa" w:w="3000"/>
            <w:vAlign w:val="center"/>
            <w:tcMar>
              <w:top w:w="100" w:type="dxa"/>
              <w:start w:w="140" w:type="dxa"/>
              <w:bottom w:w="100" w:type="dxa"/>
              <w:end w:w="140" w:type="dxa"/>
            </w:tcMar>
          </w:tcPr>
          <w:p>
            <w:r>
              <w:rPr>
                <w:rFonts w:ascii="Aptos" w:hAnsi="Aptos"/>
                <w:b w:val="0"/>
                <w:i w:val="0"/>
                <w:color w:val="2F292B"/>
                <w:sz w:val="18"/>
              </w:rPr>
              <w:t>The Spark Unfolding Book Club</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Primary reading, listening, resource, membership, and book-club home</w:t>
            </w:r>
          </w:p>
        </w:tc>
      </w:tr>
      <w:tr>
        <w:tc>
          <w:tcPr>
            <w:tcW w:type="dxa" w:w="3000"/>
            <w:vAlign w:val="center"/>
            <w:tcMar>
              <w:top w:w="100" w:type="dxa"/>
              <w:start w:w="140" w:type="dxa"/>
              <w:bottom w:w="100" w:type="dxa"/>
              <w:end w:w="140" w:type="dxa"/>
            </w:tcMar>
          </w:tcPr>
          <w:p>
            <w:r>
              <w:rPr>
                <w:rFonts w:ascii="Aptos" w:hAnsi="Aptos"/>
                <w:b w:val="0"/>
                <w:i w:val="0"/>
                <w:color w:val="2F292B"/>
                <w:sz w:val="18"/>
              </w:rPr>
              <w:t>The Convergence Quotient 45 Mission</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Professional and spiritual convergence, My Convergence reflection, strengths and gifts integration</w:t>
            </w:r>
          </w:p>
        </w:tc>
      </w:tr>
      <w:tr>
        <w:tc>
          <w:tcPr>
            <w:tcW w:type="dxa" w:w="3000"/>
            <w:vAlign w:val="center"/>
            <w:tcMar>
              <w:top w:w="100" w:type="dxa"/>
              <w:start w:w="140" w:type="dxa"/>
              <w:bottom w:w="100" w:type="dxa"/>
              <w:end w:w="140" w:type="dxa"/>
            </w:tcMar>
          </w:tcPr>
          <w:p>
            <w:r>
              <w:rPr>
                <w:rFonts w:ascii="Aptos" w:hAnsi="Aptos"/>
                <w:b w:val="0"/>
                <w:i w:val="0"/>
                <w:color w:val="2F292B"/>
                <w:sz w:val="18"/>
              </w:rPr>
              <w:t>Atrielle</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Women’s identity, transition, wellbeing, and becoming pathway</w:t>
            </w:r>
          </w:p>
        </w:tc>
      </w:tr>
      <w:tr>
        <w:tc>
          <w:tcPr>
            <w:tcW w:type="dxa" w:w="3000"/>
            <w:vAlign w:val="center"/>
            <w:tcMar>
              <w:top w:w="100" w:type="dxa"/>
              <w:start w:w="140" w:type="dxa"/>
              <w:bottom w:w="100" w:type="dxa"/>
              <w:end w:w="140" w:type="dxa"/>
            </w:tcMar>
          </w:tcPr>
          <w:p>
            <w:r>
              <w:rPr>
                <w:rFonts w:ascii="Aptos" w:hAnsi="Aptos"/>
                <w:b w:val="0"/>
                <w:i w:val="0"/>
                <w:color w:val="2F292B"/>
                <w:sz w:val="18"/>
              </w:rPr>
              <w:t>Becoming Aligned</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Faith-based coaching bridge and supported response</w:t>
            </w:r>
          </w:p>
        </w:tc>
      </w:tr>
      <w:tr>
        <w:tc>
          <w:tcPr>
            <w:tcW w:type="dxa" w:w="3000"/>
            <w:vAlign w:val="center"/>
            <w:tcMar>
              <w:top w:w="100" w:type="dxa"/>
              <w:start w:w="140" w:type="dxa"/>
              <w:bottom w:w="100" w:type="dxa"/>
              <w:end w:w="140" w:type="dxa"/>
            </w:tcMar>
          </w:tcPr>
          <w:p>
            <w:r>
              <w:rPr>
                <w:rFonts w:ascii="Aptos" w:hAnsi="Aptos"/>
                <w:b w:val="0"/>
                <w:i w:val="0"/>
                <w:color w:val="2F292B"/>
                <w:sz w:val="18"/>
              </w:rPr>
              <w:t>Write It to Life</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Writing, testimony, authorship, journaling, and creative expression</w:t>
            </w:r>
          </w:p>
        </w:tc>
      </w:tr>
      <w:tr>
        <w:tc>
          <w:tcPr>
            <w:tcW w:type="dxa" w:w="3000"/>
            <w:vAlign w:val="center"/>
            <w:tcMar>
              <w:top w:w="100" w:type="dxa"/>
              <w:start w:w="140" w:type="dxa"/>
              <w:bottom w:w="100" w:type="dxa"/>
              <w:end w:w="140" w:type="dxa"/>
            </w:tcMar>
          </w:tcPr>
          <w:p>
            <w:r>
              <w:rPr>
                <w:rFonts w:ascii="Aptos" w:hAnsi="Aptos"/>
                <w:b w:val="0"/>
                <w:i w:val="0"/>
                <w:color w:val="2F292B"/>
                <w:sz w:val="18"/>
              </w:rPr>
              <w:t>CISOP Missional Journal</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Prophetic formation, Scripture, assignments, and discernment</w:t>
            </w:r>
          </w:p>
        </w:tc>
      </w:tr>
      <w:tr>
        <w:tc>
          <w:tcPr>
            <w:tcW w:type="dxa" w:w="3000"/>
            <w:vAlign w:val="center"/>
            <w:tcMar>
              <w:top w:w="100" w:type="dxa"/>
              <w:start w:w="140" w:type="dxa"/>
              <w:bottom w:w="100" w:type="dxa"/>
              <w:end w:w="140" w:type="dxa"/>
            </w:tcMar>
          </w:tcPr>
          <w:p>
            <w:r>
              <w:rPr>
                <w:rFonts w:ascii="Aptos" w:hAnsi="Aptos"/>
                <w:b w:val="0"/>
                <w:i w:val="0"/>
                <w:color w:val="2F292B"/>
                <w:sz w:val="18"/>
              </w:rPr>
              <w:t>The Prophet Who Has Come Home</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Prophetic identity and formation narrative</w:t>
            </w:r>
          </w:p>
        </w:tc>
      </w:tr>
      <w:tr>
        <w:tc>
          <w:tcPr>
            <w:tcW w:type="dxa" w:w="3000"/>
            <w:vAlign w:val="center"/>
            <w:tcMar>
              <w:top w:w="100" w:type="dxa"/>
              <w:start w:w="140" w:type="dxa"/>
              <w:bottom w:w="100" w:type="dxa"/>
              <w:end w:w="140" w:type="dxa"/>
            </w:tcMar>
          </w:tcPr>
          <w:p>
            <w:r>
              <w:rPr>
                <w:rFonts w:ascii="Aptos" w:hAnsi="Aptos"/>
                <w:b w:val="0"/>
                <w:i w:val="0"/>
                <w:color w:val="2F292B"/>
                <w:sz w:val="18"/>
              </w:rPr>
              <w:t>Brown Virtual Lab</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Physician-scientist, researcher, mentor, and academic leadership audience</w:t>
            </w:r>
          </w:p>
        </w:tc>
      </w:tr>
      <w:tr>
        <w:tc>
          <w:tcPr>
            <w:tcW w:type="dxa" w:w="3000"/>
            <w:vAlign w:val="center"/>
            <w:tcMar>
              <w:top w:w="100" w:type="dxa"/>
              <w:start w:w="140" w:type="dxa"/>
              <w:bottom w:w="100" w:type="dxa"/>
              <w:end w:w="140" w:type="dxa"/>
            </w:tcMar>
          </w:tcPr>
          <w:p>
            <w:r>
              <w:rPr>
                <w:rFonts w:ascii="Aptos" w:hAnsi="Aptos"/>
                <w:b w:val="0"/>
                <w:i w:val="0"/>
                <w:color w:val="2F292B"/>
                <w:sz w:val="18"/>
              </w:rPr>
              <w:t>Heart Innovation and Equity Research Institute</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Professional education, leadership, research, and institutional offerings</w:t>
            </w:r>
          </w:p>
        </w:tc>
      </w:tr>
      <w:tr>
        <w:tc>
          <w:tcPr>
            <w:tcW w:type="dxa" w:w="3000"/>
            <w:vAlign w:val="center"/>
            <w:tcMar>
              <w:top w:w="100" w:type="dxa"/>
              <w:start w:w="140" w:type="dxa"/>
              <w:bottom w:w="100" w:type="dxa"/>
              <w:end w:w="140" w:type="dxa"/>
            </w:tcMar>
          </w:tcPr>
          <w:p>
            <w:r>
              <w:rPr>
                <w:rFonts w:ascii="Aptos" w:hAnsi="Aptos"/>
                <w:b w:val="0"/>
                <w:i w:val="0"/>
                <w:color w:val="2F292B"/>
                <w:sz w:val="18"/>
              </w:rPr>
              <w:t>Six-Volume Early-Career Development Collection</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Trainees and early-career professionals</w:t>
            </w:r>
          </w:p>
        </w:tc>
      </w:tr>
      <w:tr>
        <w:tc>
          <w:tcPr>
            <w:tcW w:type="dxa" w:w="3000"/>
            <w:vAlign w:val="center"/>
            <w:tcMar>
              <w:top w:w="100" w:type="dxa"/>
              <w:start w:w="140" w:type="dxa"/>
              <w:bottom w:w="100" w:type="dxa"/>
              <w:end w:w="140" w:type="dxa"/>
            </w:tcMar>
          </w:tcPr>
          <w:p>
            <w:r>
              <w:rPr>
                <w:rFonts w:ascii="Aptos" w:hAnsi="Aptos"/>
                <w:b w:val="0"/>
                <w:i w:val="0"/>
                <w:color w:val="2F292B"/>
                <w:sz w:val="18"/>
              </w:rPr>
              <w:t>The Second Tracing Library</w:t>
            </w:r>
          </w:p>
        </w:tc>
        <w:tc>
          <w:tcPr>
            <w:tcW w:type="dxa" w:w="2000"/>
            <w:vAlign w:val="center"/>
            <w:tcMar>
              <w:top w:w="100" w:type="dxa"/>
              <w:start w:w="140" w:type="dxa"/>
              <w:bottom w:w="100" w:type="dxa"/>
              <w:end w:w="140" w:type="dxa"/>
            </w:tcMar>
          </w:tcPr>
          <w:p>
            <w:r>
              <w:rPr>
                <w:rFonts w:ascii="Aptos" w:hAnsi="Aptos"/>
                <w:b w:val="0"/>
                <w:i w:val="0"/>
                <w:color w:val="2F292B"/>
                <w:sz w:val="18"/>
              </w:rPr>
              <w:t>Full pathway</w:t>
            </w:r>
          </w:p>
        </w:tc>
        <w:tc>
          <w:tcPr>
            <w:tcW w:type="dxa" w:w="4360"/>
            <w:vAlign w:val="center"/>
            <w:tcMar>
              <w:top w:w="100" w:type="dxa"/>
              <w:start w:w="140" w:type="dxa"/>
              <w:bottom w:w="100" w:type="dxa"/>
              <w:end w:w="140" w:type="dxa"/>
            </w:tcMar>
          </w:tcPr>
          <w:p>
            <w:r>
              <w:rPr>
                <w:rFonts w:ascii="Aptos" w:hAnsi="Aptos"/>
                <w:b w:val="0"/>
                <w:i w:val="0"/>
                <w:color w:val="2F292B"/>
                <w:sz w:val="18"/>
              </w:rPr>
              <w:t>Book and knowledge repository cross-discovery</w:t>
            </w:r>
          </w:p>
        </w:tc>
      </w:tr>
      <w:tr>
        <w:tc>
          <w:tcPr>
            <w:tcW w:type="dxa" w:w="3000"/>
            <w:vAlign w:val="center"/>
            <w:tcMar>
              <w:top w:w="100" w:type="dxa"/>
              <w:start w:w="140" w:type="dxa"/>
              <w:bottom w:w="100" w:type="dxa"/>
              <w:end w:w="140" w:type="dxa"/>
            </w:tcMar>
          </w:tcPr>
          <w:p>
            <w:r>
              <w:rPr>
                <w:rFonts w:ascii="Aptos" w:hAnsi="Aptos"/>
                <w:b w:val="0"/>
                <w:i w:val="0"/>
                <w:color w:val="2F292B"/>
                <w:sz w:val="18"/>
              </w:rPr>
              <w:t>Dr. Brown Integrated Command Center</w:t>
            </w:r>
          </w:p>
        </w:tc>
        <w:tc>
          <w:tcPr>
            <w:tcW w:type="dxa" w:w="2000"/>
            <w:vAlign w:val="center"/>
            <w:tcMar>
              <w:top w:w="100" w:type="dxa"/>
              <w:start w:w="140" w:type="dxa"/>
              <w:bottom w:w="100" w:type="dxa"/>
              <w:end w:w="140" w:type="dxa"/>
            </w:tcMar>
          </w:tcPr>
          <w:p>
            <w:r>
              <w:rPr>
                <w:rFonts w:ascii="Aptos" w:hAnsi="Aptos"/>
                <w:b w:val="0"/>
                <w:i w:val="0"/>
                <w:color w:val="2F292B"/>
                <w:sz w:val="18"/>
              </w:rPr>
              <w:t>Central oversight</w:t>
            </w:r>
          </w:p>
        </w:tc>
        <w:tc>
          <w:tcPr>
            <w:tcW w:type="dxa" w:w="4360"/>
            <w:vAlign w:val="center"/>
            <w:tcMar>
              <w:top w:w="100" w:type="dxa"/>
              <w:start w:w="140" w:type="dxa"/>
              <w:bottom w:w="100" w:type="dxa"/>
              <w:end w:w="140" w:type="dxa"/>
            </w:tcMar>
          </w:tcPr>
          <w:p>
            <w:r>
              <w:rPr>
                <w:rFonts w:ascii="Aptos" w:hAnsi="Aptos"/>
                <w:b w:val="0"/>
                <w:i w:val="0"/>
                <w:color w:val="2F292B"/>
                <w:sz w:val="18"/>
              </w:rPr>
              <w:t>Inventory, status, source files, release dates, links, metrics, and update controls</w:t>
            </w:r>
          </w:p>
        </w:tc>
      </w:tr>
      <w:tr>
        <w:tc>
          <w:tcPr>
            <w:tcW w:type="dxa" w:w="3000"/>
            <w:vAlign w:val="center"/>
            <w:tcMar>
              <w:top w:w="100" w:type="dxa"/>
              <w:start w:w="140" w:type="dxa"/>
              <w:bottom w:w="100" w:type="dxa"/>
              <w:end w:w="140" w:type="dxa"/>
            </w:tcMar>
          </w:tcPr>
          <w:p>
            <w:r>
              <w:rPr>
                <w:rFonts w:ascii="Aptos" w:hAnsi="Aptos"/>
                <w:b w:val="0"/>
                <w:i w:val="0"/>
                <w:color w:val="2F292B"/>
                <w:sz w:val="18"/>
              </w:rPr>
              <w:t>Remaining relevant Sites</w:t>
            </w:r>
          </w:p>
        </w:tc>
        <w:tc>
          <w:tcPr>
            <w:tcW w:type="dxa" w:w="2000"/>
            <w:vAlign w:val="center"/>
            <w:tcMar>
              <w:top w:w="100" w:type="dxa"/>
              <w:start w:w="140" w:type="dxa"/>
              <w:bottom w:w="100" w:type="dxa"/>
              <w:end w:w="140" w:type="dxa"/>
            </w:tcMar>
          </w:tcPr>
          <w:p>
            <w:r>
              <w:rPr>
                <w:rFonts w:ascii="Aptos" w:hAnsi="Aptos"/>
                <w:b w:val="0"/>
                <w:i w:val="0"/>
                <w:color w:val="2F292B"/>
                <w:sz w:val="18"/>
              </w:rPr>
              <w:t>Tailored invitation</w:t>
            </w:r>
          </w:p>
        </w:tc>
        <w:tc>
          <w:tcPr>
            <w:tcW w:type="dxa" w:w="4360"/>
            <w:vAlign w:val="center"/>
            <w:tcMar>
              <w:top w:w="100" w:type="dxa"/>
              <w:start w:w="140" w:type="dxa"/>
              <w:bottom w:w="100" w:type="dxa"/>
              <w:end w:w="140" w:type="dxa"/>
            </w:tcMar>
          </w:tcPr>
          <w:p>
            <w:r>
              <w:rPr>
                <w:rFonts w:ascii="Aptos" w:hAnsi="Aptos"/>
                <w:b w:val="0"/>
                <w:i w:val="0"/>
                <w:color w:val="2F292B"/>
                <w:sz w:val="18"/>
              </w:rPr>
              <w:t>Context-specific entry card and deep link, preserving the host Site’s established audience and function</w:t>
            </w:r>
          </w:p>
        </w:tc>
      </w:tr>
    </w:tbl>
    <w:p/>
    <w:p>
      <w:pPr>
        <w:pStyle w:val="Heading2"/>
      </w:pPr>
      <w:r>
        <w:t>Shared module requirements</w:t>
      </w:r>
    </w:p>
    <w:p>
      <w:pPr>
        <w:pStyle w:val="ListBullet"/>
      </w:pPr>
      <w:r>
        <w:rPr>
          <w:rFonts w:ascii="Aptos" w:hAnsi="Aptos"/>
          <w:b w:val="0"/>
          <w:i w:val="0"/>
          <w:color w:val="2F292B"/>
          <w:sz w:val="21"/>
        </w:rPr>
        <w:t>A short invitation written in the host Site’s language.</w:t>
      </w:r>
    </w:p>
    <w:p>
      <w:pPr>
        <w:pStyle w:val="ListBullet"/>
      </w:pPr>
      <w:r>
        <w:rPr>
          <w:rFonts w:ascii="Aptos" w:hAnsi="Aptos"/>
          <w:b w:val="0"/>
          <w:i w:val="0"/>
          <w:color w:val="2F292B"/>
          <w:sz w:val="21"/>
        </w:rPr>
        <w:t>A direct route to the most relevant book, audio, workbook, or reflection pathway.</w:t>
      </w:r>
    </w:p>
    <w:p>
      <w:pPr>
        <w:pStyle w:val="ListBullet"/>
      </w:pPr>
      <w:r>
        <w:rPr>
          <w:rFonts w:ascii="Aptos" w:hAnsi="Aptos"/>
          <w:b w:val="0"/>
          <w:i w:val="0"/>
          <w:color w:val="2F292B"/>
          <w:sz w:val="21"/>
        </w:rPr>
        <w:t>A transparent description of who may benefit, expressed as an invitation rather than an eligibility boundary.</w:t>
      </w:r>
    </w:p>
    <w:p>
      <w:pPr>
        <w:pStyle w:val="ListBullet"/>
      </w:pPr>
      <w:r>
        <w:rPr>
          <w:rFonts w:ascii="Aptos" w:hAnsi="Aptos"/>
          <w:b w:val="0"/>
          <w:i w:val="0"/>
          <w:color w:val="2F292B"/>
          <w:sz w:val="21"/>
        </w:rPr>
        <w:t>Consistent source attribution, privacy language, and distinction among education, clinical care, coaching, ministry, and spiritual discernment.</w:t>
      </w:r>
    </w:p>
    <w:p>
      <w:pPr>
        <w:pStyle w:val="ListBullet"/>
      </w:pPr>
      <w:r>
        <w:rPr>
          <w:rFonts w:ascii="Aptos" w:hAnsi="Aptos"/>
          <w:b w:val="0"/>
          <w:i w:val="0"/>
          <w:color w:val="2F292B"/>
          <w:sz w:val="21"/>
        </w:rPr>
        <w:t>Mobile-safe layout, accessible headings, keyboard reachability, visible focus, legible type, and zero horizontal overflow.</w:t>
      </w:r>
    </w:p>
    <w:p>
      <w:pPr>
        <w:pStyle w:val="ListBullet"/>
      </w:pPr>
      <w:r>
        <w:rPr>
          <w:rFonts w:ascii="Aptos" w:hAnsi="Aptos"/>
          <w:b w:val="0"/>
          <w:i w:val="0"/>
          <w:color w:val="2F292B"/>
          <w:sz w:val="21"/>
        </w:rPr>
        <w:t>Analytics events for pathway view, book open, audio start, resource open, member-portal entry, and group inquiry, subject to consent and privacy requirements.</w:t>
      </w:r>
    </w:p>
    <w:p>
      <w:pPr>
        <w:pStyle w:val="Heading1"/>
      </w:pPr>
      <w:r>
        <w:t>4. Reader experience and product system</w:t>
      </w:r>
    </w:p>
    <w:p>
      <w:pPr>
        <w:pStyle w:val="Heading2"/>
      </w:pPr>
      <w:r>
        <w:t>Four movements</w:t>
      </w:r>
    </w:p>
    <w:tbl>
      <w:tblPr>
        <w:tblStyle w:val="TableGrid"/>
        <w:tblW w:type="dxa" w:w="9360"/>
        <w:jc w:val="center"/>
        <w:tblLayout w:type="fixed"/>
        <w:tblLook w:firstColumn="1" w:firstRow="1" w:lastColumn="0" w:lastRow="0" w:noHBand="0" w:noVBand="1" w:val="04A0"/>
        <w:tblInd w:w="140" w:type="dxa"/>
      </w:tblPr>
      <w:tblGrid>
        <w:gridCol w:w="1420"/>
        <w:gridCol w:w="2850"/>
        <w:gridCol w:w="2980"/>
        <w:gridCol w:w="2110"/>
      </w:tblGrid>
      <w:tr>
        <w:trPr>
          <w:tblHeader w:val="true"/>
        </w:trPr>
        <w:tc>
          <w:tcPr>
            <w:tcW w:type="dxa" w:w="1420"/>
            <w:tcMar>
              <w:top w:w="100" w:type="dxa"/>
              <w:start w:w="140" w:type="dxa"/>
              <w:bottom w:w="100" w:type="dxa"/>
              <w:end w:w="140" w:type="dxa"/>
            </w:tcMar>
            <w:shd w:fill="762631"/>
            <w:vAlign w:val="center"/>
          </w:tcPr>
          <w:p>
            <w:r>
              <w:rPr>
                <w:rFonts w:ascii="Aptos" w:hAnsi="Aptos"/>
                <w:b/>
                <w:i w:val="0"/>
                <w:color w:val="FFFFFF"/>
                <w:sz w:val="18"/>
              </w:rPr>
              <w:t>Movement</w:t>
            </w:r>
          </w:p>
        </w:tc>
        <w:tc>
          <w:tcPr>
            <w:tcW w:type="dxa" w:w="2850"/>
            <w:tcMar>
              <w:top w:w="100" w:type="dxa"/>
              <w:start w:w="140" w:type="dxa"/>
              <w:bottom w:w="100" w:type="dxa"/>
              <w:end w:w="140" w:type="dxa"/>
            </w:tcMar>
            <w:shd w:fill="762631"/>
            <w:vAlign w:val="center"/>
          </w:tcPr>
          <w:p>
            <w:r>
              <w:rPr>
                <w:rFonts w:ascii="Aptos" w:hAnsi="Aptos"/>
                <w:b/>
                <w:i w:val="0"/>
                <w:color w:val="FFFFFF"/>
                <w:sz w:val="18"/>
              </w:rPr>
              <w:t>Reader question</w:t>
            </w:r>
          </w:p>
        </w:tc>
        <w:tc>
          <w:tcPr>
            <w:tcW w:type="dxa" w:w="2980"/>
            <w:tcMar>
              <w:top w:w="100" w:type="dxa"/>
              <w:start w:w="140" w:type="dxa"/>
              <w:bottom w:w="100" w:type="dxa"/>
              <w:end w:w="140" w:type="dxa"/>
            </w:tcMar>
            <w:shd w:fill="762631"/>
            <w:vAlign w:val="center"/>
          </w:tcPr>
          <w:p>
            <w:r>
              <w:rPr>
                <w:rFonts w:ascii="Aptos" w:hAnsi="Aptos"/>
                <w:b/>
                <w:i w:val="0"/>
                <w:color w:val="FFFFFF"/>
                <w:sz w:val="18"/>
              </w:rPr>
              <w:t>Practice</w:t>
            </w:r>
          </w:p>
        </w:tc>
        <w:tc>
          <w:tcPr>
            <w:tcW w:type="dxa" w:w="2110"/>
            <w:tcMar>
              <w:top w:w="100" w:type="dxa"/>
              <w:start w:w="140" w:type="dxa"/>
              <w:bottom w:w="100" w:type="dxa"/>
              <w:end w:w="140" w:type="dxa"/>
            </w:tcMar>
            <w:shd w:fill="762631"/>
            <w:vAlign w:val="center"/>
          </w:tcPr>
          <w:p>
            <w:r>
              <w:rPr>
                <w:rFonts w:ascii="Aptos" w:hAnsi="Aptos"/>
                <w:b/>
                <w:i w:val="0"/>
                <w:color w:val="FFFFFF"/>
                <w:sz w:val="18"/>
              </w:rPr>
              <w:t>Outcome</w:t>
            </w:r>
          </w:p>
        </w:tc>
      </w:tr>
      <w:tr>
        <w:tc>
          <w:tcPr>
            <w:tcW w:type="dxa" w:w="1420"/>
            <w:vAlign w:val="center"/>
            <w:tcMar>
              <w:top w:w="100" w:type="dxa"/>
              <w:start w:w="140" w:type="dxa"/>
              <w:bottom w:w="100" w:type="dxa"/>
              <w:end w:w="140" w:type="dxa"/>
            </w:tcMar>
          </w:tcPr>
          <w:p>
            <w:r>
              <w:rPr>
                <w:rFonts w:ascii="Aptos" w:hAnsi="Aptos"/>
                <w:b w:val="0"/>
                <w:i w:val="0"/>
                <w:color w:val="2F292B"/>
                <w:sz w:val="18"/>
              </w:rPr>
              <w:t>Recognize</w:t>
            </w:r>
          </w:p>
        </w:tc>
        <w:tc>
          <w:tcPr>
            <w:tcW w:type="dxa" w:w="2850"/>
            <w:vAlign w:val="center"/>
            <w:tcMar>
              <w:top w:w="100" w:type="dxa"/>
              <w:start w:w="140" w:type="dxa"/>
              <w:bottom w:w="100" w:type="dxa"/>
              <w:end w:w="140" w:type="dxa"/>
            </w:tcMar>
          </w:tcPr>
          <w:p>
            <w:r>
              <w:rPr>
                <w:rFonts w:ascii="Aptos" w:hAnsi="Aptos"/>
                <w:b w:val="0"/>
                <w:i w:val="0"/>
                <w:color w:val="2F292B"/>
                <w:sz w:val="18"/>
              </w:rPr>
              <w:t>What phrase, tension, pattern, or possibility remains with me?</w:t>
            </w:r>
          </w:p>
        </w:tc>
        <w:tc>
          <w:tcPr>
            <w:tcW w:type="dxa" w:w="2980"/>
            <w:vAlign w:val="center"/>
            <w:tcMar>
              <w:top w:w="100" w:type="dxa"/>
              <w:start w:w="140" w:type="dxa"/>
              <w:bottom w:w="100" w:type="dxa"/>
              <w:end w:w="140" w:type="dxa"/>
            </w:tcMar>
          </w:tcPr>
          <w:p>
            <w:r>
              <w:rPr>
                <w:rFonts w:ascii="Aptos" w:hAnsi="Aptos"/>
                <w:b w:val="0"/>
                <w:i w:val="0"/>
                <w:color w:val="2F292B"/>
                <w:sz w:val="18"/>
              </w:rPr>
              <w:t>Capture one sentence and one embodied response.</w:t>
            </w:r>
          </w:p>
        </w:tc>
        <w:tc>
          <w:tcPr>
            <w:tcW w:type="dxa" w:w="2110"/>
            <w:vAlign w:val="center"/>
            <w:tcMar>
              <w:top w:w="100" w:type="dxa"/>
              <w:start w:w="140" w:type="dxa"/>
              <w:bottom w:w="100" w:type="dxa"/>
              <w:end w:w="140" w:type="dxa"/>
            </w:tcMar>
          </w:tcPr>
          <w:p>
            <w:r>
              <w:rPr>
                <w:rFonts w:ascii="Aptos" w:hAnsi="Aptos"/>
                <w:b w:val="0"/>
                <w:i w:val="0"/>
                <w:color w:val="2F292B"/>
                <w:sz w:val="18"/>
              </w:rPr>
              <w:t>A named point of attention</w:t>
            </w:r>
          </w:p>
        </w:tc>
      </w:tr>
      <w:tr>
        <w:tc>
          <w:tcPr>
            <w:tcW w:type="dxa" w:w="1420"/>
            <w:vAlign w:val="center"/>
            <w:tcMar>
              <w:top w:w="100" w:type="dxa"/>
              <w:start w:w="140" w:type="dxa"/>
              <w:bottom w:w="100" w:type="dxa"/>
              <w:end w:w="140" w:type="dxa"/>
            </w:tcMar>
          </w:tcPr>
          <w:p>
            <w:r>
              <w:rPr>
                <w:rFonts w:ascii="Aptos" w:hAnsi="Aptos"/>
                <w:b w:val="0"/>
                <w:i w:val="0"/>
                <w:color w:val="2F292B"/>
                <w:sz w:val="18"/>
              </w:rPr>
              <w:t>Reflect</w:t>
            </w:r>
          </w:p>
        </w:tc>
        <w:tc>
          <w:tcPr>
            <w:tcW w:type="dxa" w:w="2850"/>
            <w:vAlign w:val="center"/>
            <w:tcMar>
              <w:top w:w="100" w:type="dxa"/>
              <w:start w:w="140" w:type="dxa"/>
              <w:bottom w:w="100" w:type="dxa"/>
              <w:end w:w="140" w:type="dxa"/>
            </w:tcMar>
          </w:tcPr>
          <w:p>
            <w:r>
              <w:rPr>
                <w:rFonts w:ascii="Aptos" w:hAnsi="Aptos"/>
                <w:b w:val="0"/>
                <w:i w:val="0"/>
                <w:color w:val="2F292B"/>
                <w:sz w:val="18"/>
              </w:rPr>
              <w:t>What do faith, evidence, experience, emotion, and responsibility reveal together?</w:t>
            </w:r>
          </w:p>
        </w:tc>
        <w:tc>
          <w:tcPr>
            <w:tcW w:type="dxa" w:w="2980"/>
            <w:vAlign w:val="center"/>
            <w:tcMar>
              <w:top w:w="100" w:type="dxa"/>
              <w:start w:w="140" w:type="dxa"/>
              <w:bottom w:w="100" w:type="dxa"/>
              <w:end w:w="140" w:type="dxa"/>
            </w:tcMar>
          </w:tcPr>
          <w:p>
            <w:r>
              <w:rPr>
                <w:rFonts w:ascii="Aptos" w:hAnsi="Aptos"/>
                <w:b w:val="0"/>
                <w:i w:val="0"/>
                <w:color w:val="2F292B"/>
                <w:sz w:val="18"/>
              </w:rPr>
              <w:t>Journal, pray, review context, and listen beneath the first answer.</w:t>
            </w:r>
          </w:p>
        </w:tc>
        <w:tc>
          <w:tcPr>
            <w:tcW w:type="dxa" w:w="2110"/>
            <w:vAlign w:val="center"/>
            <w:tcMar>
              <w:top w:w="100" w:type="dxa"/>
              <w:start w:w="140" w:type="dxa"/>
              <w:bottom w:w="100" w:type="dxa"/>
              <w:end w:w="140" w:type="dxa"/>
            </w:tcMar>
          </w:tcPr>
          <w:p>
            <w:r>
              <w:rPr>
                <w:rFonts w:ascii="Aptos" w:hAnsi="Aptos"/>
                <w:b w:val="0"/>
                <w:i w:val="0"/>
                <w:color w:val="2F292B"/>
                <w:sz w:val="18"/>
              </w:rPr>
              <w:t>A fuller account of meaning</w:t>
            </w:r>
          </w:p>
        </w:tc>
      </w:tr>
      <w:tr>
        <w:tc>
          <w:tcPr>
            <w:tcW w:type="dxa" w:w="1420"/>
            <w:vAlign w:val="center"/>
            <w:tcMar>
              <w:top w:w="100" w:type="dxa"/>
              <w:start w:w="140" w:type="dxa"/>
              <w:bottom w:w="100" w:type="dxa"/>
              <w:end w:w="140" w:type="dxa"/>
            </w:tcMar>
          </w:tcPr>
          <w:p>
            <w:r>
              <w:rPr>
                <w:rFonts w:ascii="Aptos" w:hAnsi="Aptos"/>
                <w:b w:val="0"/>
                <w:i w:val="0"/>
                <w:color w:val="2F292B"/>
                <w:sz w:val="18"/>
              </w:rPr>
              <w:t>Discern</w:t>
            </w:r>
          </w:p>
        </w:tc>
        <w:tc>
          <w:tcPr>
            <w:tcW w:type="dxa" w:w="2850"/>
            <w:vAlign w:val="center"/>
            <w:tcMar>
              <w:top w:w="100" w:type="dxa"/>
              <w:start w:w="140" w:type="dxa"/>
              <w:bottom w:w="100" w:type="dxa"/>
              <w:end w:w="140" w:type="dxa"/>
            </w:tcMar>
          </w:tcPr>
          <w:p>
            <w:r>
              <w:rPr>
                <w:rFonts w:ascii="Aptos" w:hAnsi="Aptos"/>
                <w:b w:val="0"/>
                <w:i w:val="0"/>
                <w:color w:val="2F292B"/>
                <w:sz w:val="18"/>
              </w:rPr>
              <w:t>What requires patience, testing, counsel, or separation?</w:t>
            </w:r>
          </w:p>
        </w:tc>
        <w:tc>
          <w:tcPr>
            <w:tcW w:type="dxa" w:w="2980"/>
            <w:vAlign w:val="center"/>
            <w:tcMar>
              <w:top w:w="100" w:type="dxa"/>
              <w:start w:w="140" w:type="dxa"/>
              <w:bottom w:w="100" w:type="dxa"/>
              <w:end w:w="140" w:type="dxa"/>
            </w:tcMar>
          </w:tcPr>
          <w:p>
            <w:r>
              <w:rPr>
                <w:rFonts w:ascii="Aptos" w:hAnsi="Aptos"/>
                <w:b w:val="0"/>
                <w:i w:val="0"/>
                <w:color w:val="2F292B"/>
                <w:sz w:val="18"/>
              </w:rPr>
              <w:t>Distinguish calling, urgency, aspiration, fear, visibility, and stewardship.</w:t>
            </w:r>
          </w:p>
        </w:tc>
        <w:tc>
          <w:tcPr>
            <w:tcW w:type="dxa" w:w="2110"/>
            <w:vAlign w:val="center"/>
            <w:tcMar>
              <w:top w:w="100" w:type="dxa"/>
              <w:start w:w="140" w:type="dxa"/>
              <w:bottom w:w="100" w:type="dxa"/>
              <w:end w:w="140" w:type="dxa"/>
            </w:tcMar>
          </w:tcPr>
          <w:p>
            <w:r>
              <w:rPr>
                <w:rFonts w:ascii="Aptos" w:hAnsi="Aptos"/>
                <w:b w:val="0"/>
                <w:i w:val="0"/>
                <w:color w:val="2F292B"/>
                <w:sz w:val="18"/>
              </w:rPr>
              <w:t>A responsible interpretation</w:t>
            </w:r>
          </w:p>
        </w:tc>
      </w:tr>
      <w:tr>
        <w:tc>
          <w:tcPr>
            <w:tcW w:type="dxa" w:w="1420"/>
            <w:vAlign w:val="center"/>
            <w:tcMar>
              <w:top w:w="100" w:type="dxa"/>
              <w:start w:w="140" w:type="dxa"/>
              <w:bottom w:w="100" w:type="dxa"/>
              <w:end w:w="140" w:type="dxa"/>
            </w:tcMar>
          </w:tcPr>
          <w:p>
            <w:r>
              <w:rPr>
                <w:rFonts w:ascii="Aptos" w:hAnsi="Aptos"/>
                <w:b w:val="0"/>
                <w:i w:val="0"/>
                <w:color w:val="2F292B"/>
                <w:sz w:val="18"/>
              </w:rPr>
              <w:t>Respond</w:t>
            </w:r>
          </w:p>
        </w:tc>
        <w:tc>
          <w:tcPr>
            <w:tcW w:type="dxa" w:w="2850"/>
            <w:vAlign w:val="center"/>
            <w:tcMar>
              <w:top w:w="100" w:type="dxa"/>
              <w:start w:w="140" w:type="dxa"/>
              <w:bottom w:w="100" w:type="dxa"/>
              <w:end w:w="140" w:type="dxa"/>
            </w:tcMar>
          </w:tcPr>
          <w:p>
            <w:r>
              <w:rPr>
                <w:rFonts w:ascii="Aptos" w:hAnsi="Aptos"/>
                <w:b w:val="0"/>
                <w:i w:val="0"/>
                <w:color w:val="2F292B"/>
                <w:sz w:val="18"/>
              </w:rPr>
              <w:t>What faithful movement can take form now?</w:t>
            </w:r>
          </w:p>
        </w:tc>
        <w:tc>
          <w:tcPr>
            <w:tcW w:type="dxa" w:w="2980"/>
            <w:vAlign w:val="center"/>
            <w:tcMar>
              <w:top w:w="100" w:type="dxa"/>
              <w:start w:w="140" w:type="dxa"/>
              <w:bottom w:w="100" w:type="dxa"/>
              <w:end w:w="140" w:type="dxa"/>
            </w:tcMar>
          </w:tcPr>
          <w:p>
            <w:r>
              <w:rPr>
                <w:rFonts w:ascii="Aptos" w:hAnsi="Aptos"/>
                <w:b w:val="0"/>
                <w:i w:val="0"/>
                <w:color w:val="2F292B"/>
                <w:sz w:val="18"/>
              </w:rPr>
              <w:t>Choose one decision, conversation, boundary, experiment, or act of service.</w:t>
            </w:r>
          </w:p>
        </w:tc>
        <w:tc>
          <w:tcPr>
            <w:tcW w:type="dxa" w:w="2110"/>
            <w:vAlign w:val="center"/>
            <w:tcMar>
              <w:top w:w="100" w:type="dxa"/>
              <w:start w:w="140" w:type="dxa"/>
              <w:bottom w:w="100" w:type="dxa"/>
              <w:end w:w="140" w:type="dxa"/>
            </w:tcMar>
          </w:tcPr>
          <w:p>
            <w:r>
              <w:rPr>
                <w:rFonts w:ascii="Aptos" w:hAnsi="Aptos"/>
                <w:b w:val="0"/>
                <w:i w:val="0"/>
                <w:color w:val="2F292B"/>
                <w:sz w:val="18"/>
              </w:rPr>
              <w:t>Insight translated into action</w:t>
            </w:r>
          </w:p>
        </w:tc>
      </w:tr>
    </w:tbl>
    <w:p/>
    <w:p>
      <w:pPr>
        <w:pStyle w:val="Heading2"/>
      </w:pPr>
      <w:r>
        <w:t>Product ladder</w:t>
      </w:r>
    </w:p>
    <w:p>
      <w:pPr>
        <w:pStyle w:val="ListBullet"/>
      </w:pPr>
      <w:r>
        <w:rPr>
          <w:rFonts w:ascii="Aptos" w:hAnsi="Aptos"/>
          <w:b w:val="0"/>
          <w:i w:val="0"/>
          <w:color w:val="2F292B"/>
          <w:sz w:val="21"/>
        </w:rPr>
        <w:t>Open access: selected complete digital books, sample narrated chapters, public reflection prompts, evidence pages, and format selector.</w:t>
      </w:r>
    </w:p>
    <w:p>
      <w:pPr>
        <w:pStyle w:val="ListBullet"/>
      </w:pPr>
      <w:r>
        <w:rPr>
          <w:rFonts w:ascii="Aptos" w:hAnsi="Aptos"/>
          <w:b w:val="0"/>
          <w:i w:val="0"/>
          <w:color w:val="2F292B"/>
          <w:sz w:val="21"/>
        </w:rPr>
        <w:t>Reader entry: individual e-book, audiobook, or premium print purchase.</w:t>
      </w:r>
    </w:p>
    <w:p>
      <w:pPr>
        <w:pStyle w:val="ListBullet"/>
      </w:pPr>
      <w:r>
        <w:rPr>
          <w:rFonts w:ascii="Aptos" w:hAnsi="Aptos"/>
          <w:b w:val="0"/>
          <w:i w:val="0"/>
          <w:color w:val="2F292B"/>
          <w:sz w:val="21"/>
        </w:rPr>
        <w:t>Bundle: e-book plus audiobook plus digital reflection companion.</w:t>
      </w:r>
    </w:p>
    <w:p>
      <w:pPr>
        <w:pStyle w:val="ListBullet"/>
      </w:pPr>
      <w:r>
        <w:rPr>
          <w:rFonts w:ascii="Aptos" w:hAnsi="Aptos"/>
          <w:b w:val="0"/>
          <w:i w:val="0"/>
          <w:color w:val="2F292B"/>
          <w:sz w:val="21"/>
        </w:rPr>
        <w:t>Membership: monthly book or guided audio experience, private companion tools, facilitated circles, resources, and founder letters.</w:t>
      </w:r>
    </w:p>
    <w:p>
      <w:pPr>
        <w:pStyle w:val="ListBullet"/>
      </w:pPr>
      <w:r>
        <w:rPr>
          <w:rFonts w:ascii="Aptos" w:hAnsi="Aptos"/>
          <w:b w:val="0"/>
          <w:i w:val="0"/>
          <w:color w:val="2F292B"/>
          <w:sz w:val="21"/>
        </w:rPr>
        <w:t>Professional circle: healthcare, research, academic, church, ministry, business, or leadership cohort with facilitator materials.</w:t>
      </w:r>
    </w:p>
    <w:p>
      <w:pPr>
        <w:pStyle w:val="ListBullet"/>
      </w:pPr>
      <w:r>
        <w:rPr>
          <w:rFonts w:ascii="Aptos" w:hAnsi="Aptos"/>
          <w:b w:val="0"/>
          <w:i w:val="0"/>
          <w:color w:val="2F292B"/>
          <w:sz w:val="21"/>
        </w:rPr>
        <w:t>Premium experience: book party, author conversation, workshop, retreat, certificate-bearing educational program where appropriate, or organization engagement.</w:t>
      </w:r>
    </w:p>
    <w:p>
      <w:pPr>
        <w:pStyle w:val="Heading2"/>
      </w:pPr>
      <w:r>
        <w:t>Recommended first collection</w:t>
      </w:r>
    </w:p>
    <w:p>
      <w:r>
        <w:rPr>
          <w:rFonts w:ascii="Aptos" w:hAnsi="Aptos"/>
          <w:b/>
          <w:i w:val="0"/>
          <w:color w:val="2F292B"/>
          <w:sz w:val="21"/>
        </w:rPr>
        <w:t>Calling and Convergence:</w:t>
      </w:r>
      <w:r>
        <w:rPr>
          <w:rFonts w:ascii="Aptos" w:hAnsi="Aptos"/>
          <w:b w:val="0"/>
          <w:i w:val="0"/>
          <w:color w:val="2F292B"/>
          <w:sz w:val="21"/>
        </w:rPr>
        <w:t xml:space="preserve"> Professional preparation, spiritual formation, life experience, and the next faithful assignment.</w:t>
      </w:r>
    </w:p>
    <w:p>
      <w:r>
        <w:rPr>
          <w:rFonts w:ascii="Aptos" w:hAnsi="Aptos"/>
          <w:b/>
          <w:i w:val="0"/>
          <w:color w:val="2F292B"/>
          <w:sz w:val="21"/>
        </w:rPr>
        <w:t>The Whole Heart:</w:t>
      </w:r>
      <w:r>
        <w:rPr>
          <w:rFonts w:ascii="Aptos" w:hAnsi="Aptos"/>
          <w:b w:val="0"/>
          <w:i w:val="0"/>
          <w:color w:val="2F292B"/>
          <w:sz w:val="21"/>
        </w:rPr>
        <w:t xml:space="preserve"> Integration of intellectual, emotional, embodied, relational, and spiritual life.</w:t>
      </w:r>
    </w:p>
    <w:p>
      <w:r>
        <w:rPr>
          <w:rFonts w:ascii="Aptos" w:hAnsi="Aptos"/>
          <w:b/>
          <w:i w:val="0"/>
          <w:color w:val="2F292B"/>
          <w:sz w:val="21"/>
        </w:rPr>
        <w:t>Watchfulness and Wise Counsel:</w:t>
      </w:r>
      <w:r>
        <w:rPr>
          <w:rFonts w:ascii="Aptos" w:hAnsi="Aptos"/>
          <w:b w:val="0"/>
          <w:i w:val="0"/>
          <w:color w:val="2F292B"/>
          <w:sz w:val="21"/>
        </w:rPr>
        <w:t xml:space="preserve"> Discernment, responsibility, timing, ethical restraint, and service to leaders and communities.</w:t>
      </w:r>
    </w:p>
    <w:p>
      <w:r>
        <w:rPr>
          <w:rFonts w:ascii="Aptos" w:hAnsi="Aptos"/>
          <w:b/>
          <w:i w:val="0"/>
          <w:color w:val="2F292B"/>
          <w:sz w:val="21"/>
        </w:rPr>
        <w:t>Becoming Through Alignment:</w:t>
      </w:r>
      <w:r>
        <w:rPr>
          <w:rFonts w:ascii="Aptos" w:hAnsi="Aptos"/>
          <w:b w:val="0"/>
          <w:i w:val="0"/>
          <w:color w:val="2F292B"/>
          <w:sz w:val="21"/>
        </w:rPr>
        <w:t xml:space="preserve"> Recognition, values, resistance, relationship, and deliberate movement.</w:t>
      </w:r>
    </w:p>
    <w:p>
      <w:r>
        <w:rPr>
          <w:rFonts w:ascii="Aptos" w:hAnsi="Aptos"/>
          <w:b/>
          <w:i w:val="0"/>
          <w:color w:val="2F292B"/>
          <w:sz w:val="21"/>
        </w:rPr>
        <w:t>The Research Table Has No Address:</w:t>
      </w:r>
      <w:r>
        <w:rPr>
          <w:rFonts w:ascii="Aptos" w:hAnsi="Aptos"/>
          <w:b w:val="0"/>
          <w:i w:val="0"/>
          <w:color w:val="2F292B"/>
          <w:sz w:val="21"/>
        </w:rPr>
        <w:t xml:space="preserve"> Distributed scholarship, mentorship, research equity, and a new geography of discovery.</w:t>
      </w:r>
    </w:p>
    <w:p>
      <w:r>
        <w:rPr>
          <w:rFonts w:ascii="Aptos" w:hAnsi="Aptos"/>
          <w:b/>
          <w:i w:val="0"/>
          <w:color w:val="2F292B"/>
          <w:sz w:val="21"/>
        </w:rPr>
        <w:t>Prophetic Formation Immersion:</w:t>
      </w:r>
      <w:r>
        <w:rPr>
          <w:rFonts w:ascii="Aptos" w:hAnsi="Aptos"/>
          <w:b w:val="0"/>
          <w:i w:val="0"/>
          <w:color w:val="2F292B"/>
          <w:sz w:val="21"/>
        </w:rPr>
        <w:t xml:space="preserve"> Scripture-shaped formation, practice, testing, community, stewardship, and maturity.</w:t>
      </w:r>
    </w:p>
    <w:p>
      <w:pPr>
        <w:pStyle w:val="Heading1"/>
      </w:pPr>
      <w:r>
        <w:t>5. Complete resource collection</w:t>
      </w:r>
    </w:p>
    <w:p>
      <w:pPr>
        <w:pStyle w:val="Heading2"/>
      </w:pPr>
      <w:r>
        <w:t>Resource 1: Reader Welcome Guide</w:t>
      </w:r>
    </w:p>
    <w:p>
      <w:r>
        <w:rPr>
          <w:rFonts w:ascii="Aptos" w:hAnsi="Aptos"/>
          <w:b w:val="0"/>
          <w:i w:val="0"/>
          <w:color w:val="2F292B"/>
          <w:sz w:val="21"/>
        </w:rPr>
        <w:t>Welcome. This pathway was created for readers whose capable lives carry questions that credentials alone cannot settle. You may enter through professional calling, spiritual identity, transition, leadership, grief, desire, service, or a growing recognition that several long-separated parts of your life belong in one conversation.</w:t>
      </w:r>
    </w:p>
    <w:p>
      <w:pPr>
        <w:pStyle w:val="ListNumber"/>
      </w:pPr>
      <w:r>
        <w:rPr>
          <w:rFonts w:ascii="Aptos" w:hAnsi="Aptos"/>
          <w:b w:val="0"/>
          <w:i w:val="0"/>
          <w:color w:val="2F292B"/>
          <w:sz w:val="21"/>
        </w:rPr>
        <w:t>Choose one present-season question. Write it in a single sentence.</w:t>
      </w:r>
    </w:p>
    <w:p>
      <w:pPr>
        <w:pStyle w:val="ListNumber"/>
      </w:pPr>
      <w:r>
        <w:rPr>
          <w:rFonts w:ascii="Aptos" w:hAnsi="Aptos"/>
          <w:b w:val="0"/>
          <w:i w:val="0"/>
          <w:color w:val="2F292B"/>
          <w:sz w:val="21"/>
        </w:rPr>
        <w:t>Choose digital, audio, print, or a combination based on the life you are actually living this month.</w:t>
      </w:r>
    </w:p>
    <w:p>
      <w:pPr>
        <w:pStyle w:val="ListNumber"/>
      </w:pPr>
      <w:r>
        <w:rPr>
          <w:rFonts w:ascii="Aptos" w:hAnsi="Aptos"/>
          <w:b w:val="0"/>
          <w:i w:val="0"/>
          <w:color w:val="2F292B"/>
          <w:sz w:val="21"/>
        </w:rPr>
        <w:t>Set a humane rhythm: one chapter or 12–20 minutes of listening, followed by five quiet minutes.</w:t>
      </w:r>
    </w:p>
    <w:p>
      <w:pPr>
        <w:pStyle w:val="ListNumber"/>
      </w:pPr>
      <w:r>
        <w:rPr>
          <w:rFonts w:ascii="Aptos" w:hAnsi="Aptos"/>
          <w:b w:val="0"/>
          <w:i w:val="0"/>
          <w:color w:val="2F292B"/>
          <w:sz w:val="21"/>
        </w:rPr>
        <w:t>Capture one phrase, one feeling, one question, and one possible response.</w:t>
      </w:r>
    </w:p>
    <w:p>
      <w:pPr>
        <w:pStyle w:val="ListNumber"/>
      </w:pPr>
      <w:r>
        <w:rPr>
          <w:rFonts w:ascii="Aptos" w:hAnsi="Aptos"/>
          <w:b w:val="0"/>
          <w:i w:val="0"/>
          <w:color w:val="2F292B"/>
          <w:sz w:val="21"/>
        </w:rPr>
        <w:t>Carry spiritual impressions with reverence and patience. Test meaning through Scripture, context, wise counsel, time, and fruit.</w:t>
      </w:r>
    </w:p>
    <w:p>
      <w:pPr>
        <w:pStyle w:val="ListNumber"/>
      </w:pPr>
      <w:r>
        <w:rPr>
          <w:rFonts w:ascii="Aptos" w:hAnsi="Aptos"/>
          <w:b w:val="0"/>
          <w:i w:val="0"/>
          <w:color w:val="2F292B"/>
          <w:sz w:val="21"/>
        </w:rPr>
        <w:t>Protect privacy. Keep patient information, protected health information, confidential workplace information, and identifying stories outside personal notes and group discussion.</w:t>
      </w:r>
    </w:p>
    <w:p>
      <w:r>
        <w:br w:type="page"/>
      </w:r>
    </w:p>
    <w:p>
      <w:pPr>
        <w:pStyle w:val="Heading2"/>
      </w:pPr>
      <w:r>
        <w:t>Resource 2: Format Selection Worksheet</w:t>
      </w:r>
    </w:p>
    <w:tbl>
      <w:tblPr>
        <w:tblStyle w:val="TableGrid"/>
        <w:tblW w:type="dxa" w:w="9360"/>
        <w:jc w:val="center"/>
        <w:tblLayout w:type="fixed"/>
        <w:tblLook w:firstColumn="1" w:firstRow="1" w:lastColumn="0" w:lastRow="0" w:noHBand="0" w:noVBand="1" w:val="04A0"/>
        <w:tblInd w:w="140" w:type="dxa"/>
      </w:tblPr>
      <w:tblGrid>
        <w:gridCol w:w="3000"/>
        <w:gridCol w:w="2120"/>
        <w:gridCol w:w="2120"/>
        <w:gridCol w:w="2120"/>
      </w:tblGrid>
      <w:tr>
        <w:trPr>
          <w:tblHeader w:val="true"/>
        </w:trPr>
        <w:tc>
          <w:tcPr>
            <w:tcW w:type="dxa" w:w="3000"/>
            <w:tcMar>
              <w:top w:w="100" w:type="dxa"/>
              <w:start w:w="140" w:type="dxa"/>
              <w:bottom w:w="100" w:type="dxa"/>
              <w:end w:w="140" w:type="dxa"/>
            </w:tcMar>
            <w:shd w:fill="762631"/>
            <w:vAlign w:val="center"/>
          </w:tcPr>
          <w:p>
            <w:r>
              <w:rPr>
                <w:rFonts w:ascii="Aptos" w:hAnsi="Aptos"/>
                <w:b/>
                <w:i w:val="0"/>
                <w:color w:val="FFFFFF"/>
                <w:sz w:val="18"/>
              </w:rPr>
              <w:t>Question</w:t>
            </w:r>
          </w:p>
        </w:tc>
        <w:tc>
          <w:tcPr>
            <w:tcW w:type="dxa" w:w="2120"/>
            <w:tcMar>
              <w:top w:w="100" w:type="dxa"/>
              <w:start w:w="140" w:type="dxa"/>
              <w:bottom w:w="100" w:type="dxa"/>
              <w:end w:w="140" w:type="dxa"/>
            </w:tcMar>
            <w:shd w:fill="762631"/>
            <w:vAlign w:val="center"/>
          </w:tcPr>
          <w:p>
            <w:r>
              <w:rPr>
                <w:rFonts w:ascii="Aptos" w:hAnsi="Aptos"/>
                <w:b/>
                <w:i w:val="0"/>
                <w:color w:val="FFFFFF"/>
                <w:sz w:val="18"/>
              </w:rPr>
              <w:t>Digital</w:t>
            </w:r>
          </w:p>
        </w:tc>
        <w:tc>
          <w:tcPr>
            <w:tcW w:type="dxa" w:w="2120"/>
            <w:tcMar>
              <w:top w:w="100" w:type="dxa"/>
              <w:start w:w="140" w:type="dxa"/>
              <w:bottom w:w="100" w:type="dxa"/>
              <w:end w:w="140" w:type="dxa"/>
            </w:tcMar>
            <w:shd w:fill="762631"/>
            <w:vAlign w:val="center"/>
          </w:tcPr>
          <w:p>
            <w:r>
              <w:rPr>
                <w:rFonts w:ascii="Aptos" w:hAnsi="Aptos"/>
                <w:b/>
                <w:i w:val="0"/>
                <w:color w:val="FFFFFF"/>
                <w:sz w:val="18"/>
              </w:rPr>
              <w:t>Audio</w:t>
            </w:r>
          </w:p>
        </w:tc>
        <w:tc>
          <w:tcPr>
            <w:tcW w:type="dxa" w:w="2120"/>
            <w:tcMar>
              <w:top w:w="100" w:type="dxa"/>
              <w:start w:w="140" w:type="dxa"/>
              <w:bottom w:w="100" w:type="dxa"/>
              <w:end w:w="140" w:type="dxa"/>
            </w:tcMar>
            <w:shd w:fill="762631"/>
            <w:vAlign w:val="center"/>
          </w:tcPr>
          <w:p>
            <w:r>
              <w:rPr>
                <w:rFonts w:ascii="Aptos" w:hAnsi="Aptos"/>
                <w:b/>
                <w:i w:val="0"/>
                <w:color w:val="FFFFFF"/>
                <w:sz w:val="18"/>
              </w:rPr>
              <w:t>Print</w:t>
            </w:r>
          </w:p>
        </w:tc>
      </w:tr>
      <w:tr>
        <w:tc>
          <w:tcPr>
            <w:tcW w:type="dxa" w:w="3000"/>
            <w:vAlign w:val="center"/>
            <w:tcMar>
              <w:top w:w="100" w:type="dxa"/>
              <w:start w:w="140" w:type="dxa"/>
              <w:bottom w:w="100" w:type="dxa"/>
              <w:end w:w="140" w:type="dxa"/>
            </w:tcMar>
          </w:tcPr>
          <w:p>
            <w:r>
              <w:rPr>
                <w:rFonts w:ascii="Aptos" w:hAnsi="Aptos"/>
                <w:b w:val="0"/>
                <w:i w:val="0"/>
                <w:color w:val="2F292B"/>
                <w:sz w:val="18"/>
              </w:rPr>
              <w:t>Where will I meet the book?</w:t>
            </w:r>
          </w:p>
        </w:tc>
        <w:tc>
          <w:tcPr>
            <w:tcW w:type="dxa" w:w="2120"/>
            <w:vAlign w:val="center"/>
            <w:tcMar>
              <w:top w:w="100" w:type="dxa"/>
              <w:start w:w="140" w:type="dxa"/>
              <w:bottom w:w="100" w:type="dxa"/>
              <w:end w:w="140" w:type="dxa"/>
            </w:tcMar>
          </w:tcPr>
          <w:p>
            <w:r>
              <w:rPr>
                <w:rFonts w:ascii="Aptos" w:hAnsi="Aptos"/>
                <w:b w:val="0"/>
                <w:i w:val="0"/>
                <w:color w:val="2F292B"/>
                <w:sz w:val="18"/>
              </w:rPr>
              <w:t>Phone, tablet, computer, travel</w:t>
            </w:r>
          </w:p>
        </w:tc>
        <w:tc>
          <w:tcPr>
            <w:tcW w:type="dxa" w:w="2120"/>
            <w:vAlign w:val="center"/>
            <w:tcMar>
              <w:top w:w="100" w:type="dxa"/>
              <w:start w:w="140" w:type="dxa"/>
              <w:bottom w:w="100" w:type="dxa"/>
              <w:end w:w="140" w:type="dxa"/>
            </w:tcMar>
          </w:tcPr>
          <w:p>
            <w:r>
              <w:rPr>
                <w:rFonts w:ascii="Aptos" w:hAnsi="Aptos"/>
                <w:b w:val="0"/>
                <w:i w:val="0"/>
                <w:color w:val="2F292B"/>
                <w:sz w:val="18"/>
              </w:rPr>
              <w:t>Commute, walk, exercise, rest, household rhythm</w:t>
            </w:r>
          </w:p>
        </w:tc>
        <w:tc>
          <w:tcPr>
            <w:tcW w:type="dxa" w:w="2120"/>
            <w:vAlign w:val="center"/>
            <w:tcMar>
              <w:top w:w="100" w:type="dxa"/>
              <w:start w:w="140" w:type="dxa"/>
              <w:bottom w:w="100" w:type="dxa"/>
              <w:end w:w="140" w:type="dxa"/>
            </w:tcMar>
          </w:tcPr>
          <w:p>
            <w:r>
              <w:rPr>
                <w:rFonts w:ascii="Aptos" w:hAnsi="Aptos"/>
                <w:b w:val="0"/>
                <w:i w:val="0"/>
                <w:color w:val="2F292B"/>
                <w:sz w:val="18"/>
              </w:rPr>
              <w:t>Quiet chair, retreat, book party, shared table</w:t>
            </w:r>
          </w:p>
        </w:tc>
      </w:tr>
      <w:tr>
        <w:tc>
          <w:tcPr>
            <w:tcW w:type="dxa" w:w="3000"/>
            <w:vAlign w:val="center"/>
            <w:tcMar>
              <w:top w:w="100" w:type="dxa"/>
              <w:start w:w="140" w:type="dxa"/>
              <w:bottom w:w="100" w:type="dxa"/>
              <w:end w:w="140" w:type="dxa"/>
            </w:tcMar>
          </w:tcPr>
          <w:p>
            <w:r>
              <w:rPr>
                <w:rFonts w:ascii="Aptos" w:hAnsi="Aptos"/>
                <w:b w:val="0"/>
                <w:i w:val="0"/>
                <w:color w:val="2F292B"/>
                <w:sz w:val="18"/>
              </w:rPr>
              <w:t>What support matters most?</w:t>
            </w:r>
          </w:p>
        </w:tc>
        <w:tc>
          <w:tcPr>
            <w:tcW w:type="dxa" w:w="2120"/>
            <w:vAlign w:val="center"/>
            <w:tcMar>
              <w:top w:w="100" w:type="dxa"/>
              <w:start w:w="140" w:type="dxa"/>
              <w:bottom w:w="100" w:type="dxa"/>
              <w:end w:w="140" w:type="dxa"/>
            </w:tcMar>
          </w:tcPr>
          <w:p>
            <w:r>
              <w:rPr>
                <w:rFonts w:ascii="Aptos" w:hAnsi="Aptos"/>
                <w:b w:val="0"/>
                <w:i w:val="0"/>
                <w:color w:val="2F292B"/>
                <w:sz w:val="18"/>
              </w:rPr>
              <w:t>Search, adjustable type, bookmarks, private notes</w:t>
            </w:r>
          </w:p>
        </w:tc>
        <w:tc>
          <w:tcPr>
            <w:tcW w:type="dxa" w:w="2120"/>
            <w:vAlign w:val="center"/>
            <w:tcMar>
              <w:top w:w="100" w:type="dxa"/>
              <w:start w:w="140" w:type="dxa"/>
              <w:bottom w:w="100" w:type="dxa"/>
              <w:end w:w="140" w:type="dxa"/>
            </w:tcMar>
          </w:tcPr>
          <w:p>
            <w:r>
              <w:rPr>
                <w:rFonts w:ascii="Aptos" w:hAnsi="Aptos"/>
                <w:b w:val="0"/>
                <w:i w:val="0"/>
                <w:color w:val="2F292B"/>
                <w:sz w:val="18"/>
              </w:rPr>
              <w:t>Human voice, mobility, screen relief, emotional cadence</w:t>
            </w:r>
          </w:p>
        </w:tc>
        <w:tc>
          <w:tcPr>
            <w:tcW w:type="dxa" w:w="2120"/>
            <w:vAlign w:val="center"/>
            <w:tcMar>
              <w:top w:w="100" w:type="dxa"/>
              <w:start w:w="140" w:type="dxa"/>
              <w:bottom w:w="100" w:type="dxa"/>
              <w:end w:w="140" w:type="dxa"/>
            </w:tcMar>
          </w:tcPr>
          <w:p>
            <w:r>
              <w:rPr>
                <w:rFonts w:ascii="Aptos" w:hAnsi="Aptos"/>
                <w:b w:val="0"/>
                <w:i w:val="0"/>
                <w:color w:val="2F292B"/>
                <w:sz w:val="18"/>
              </w:rPr>
              <w:t>Tactile annotation, gifting, visual memory, shared object</w:t>
            </w:r>
          </w:p>
        </w:tc>
      </w:tr>
      <w:tr>
        <w:tc>
          <w:tcPr>
            <w:tcW w:type="dxa" w:w="3000"/>
            <w:vAlign w:val="center"/>
            <w:tcMar>
              <w:top w:w="100" w:type="dxa"/>
              <w:start w:w="140" w:type="dxa"/>
              <w:bottom w:w="100" w:type="dxa"/>
              <w:end w:w="140" w:type="dxa"/>
            </w:tcMar>
          </w:tcPr>
          <w:p>
            <w:r>
              <w:rPr>
                <w:rFonts w:ascii="Aptos" w:hAnsi="Aptos"/>
                <w:b w:val="0"/>
                <w:i w:val="0"/>
                <w:color w:val="2F292B"/>
                <w:sz w:val="18"/>
              </w:rPr>
              <w:t>What is my present constraint?</w:t>
            </w:r>
          </w:p>
        </w:tc>
        <w:tc>
          <w:tcPr>
            <w:tcW w:type="dxa" w:w="2120"/>
            <w:vAlign w:val="center"/>
            <w:tcMar>
              <w:top w:w="100" w:type="dxa"/>
              <w:start w:w="140" w:type="dxa"/>
              <w:bottom w:w="100" w:type="dxa"/>
              <w:end w:w="140" w:type="dxa"/>
            </w:tcMar>
          </w:tcPr>
          <w:p>
            <w:r>
              <w:rPr>
                <w:rFonts w:ascii="Aptos" w:hAnsi="Aptos"/>
                <w:b w:val="0"/>
                <w:i w:val="0"/>
                <w:color w:val="2F292B"/>
                <w:sz w:val="18"/>
              </w:rPr>
              <w:t>Space, mobility, immediate access</w:t>
            </w:r>
          </w:p>
        </w:tc>
        <w:tc>
          <w:tcPr>
            <w:tcW w:type="dxa" w:w="2120"/>
            <w:vAlign w:val="center"/>
            <w:tcMar>
              <w:top w:w="100" w:type="dxa"/>
              <w:start w:w="140" w:type="dxa"/>
              <w:bottom w:w="100" w:type="dxa"/>
              <w:end w:w="140" w:type="dxa"/>
            </w:tcMar>
          </w:tcPr>
          <w:p>
            <w:r>
              <w:rPr>
                <w:rFonts w:ascii="Aptos" w:hAnsi="Aptos"/>
                <w:b w:val="0"/>
                <w:i w:val="0"/>
                <w:color w:val="2F292B"/>
                <w:sz w:val="18"/>
              </w:rPr>
              <w:t>Time with hands or eyes occupied</w:t>
            </w:r>
          </w:p>
        </w:tc>
        <w:tc>
          <w:tcPr>
            <w:tcW w:type="dxa" w:w="2120"/>
            <w:vAlign w:val="center"/>
            <w:tcMar>
              <w:top w:w="100" w:type="dxa"/>
              <w:start w:w="140" w:type="dxa"/>
              <w:bottom w:w="100" w:type="dxa"/>
              <w:end w:w="140" w:type="dxa"/>
            </w:tcMar>
          </w:tcPr>
          <w:p>
            <w:r>
              <w:rPr>
                <w:rFonts w:ascii="Aptos" w:hAnsi="Aptos"/>
                <w:b w:val="0"/>
                <w:i w:val="0"/>
                <w:color w:val="2F292B"/>
                <w:sz w:val="18"/>
              </w:rPr>
              <w:t>Desire for slower focus and physical presence</w:t>
            </w:r>
          </w:p>
        </w:tc>
      </w:tr>
      <w:tr>
        <w:tc>
          <w:tcPr>
            <w:tcW w:type="dxa" w:w="3000"/>
            <w:vAlign w:val="center"/>
            <w:tcMar>
              <w:top w:w="100" w:type="dxa"/>
              <w:start w:w="140" w:type="dxa"/>
              <w:bottom w:w="100" w:type="dxa"/>
              <w:end w:w="140" w:type="dxa"/>
            </w:tcMar>
          </w:tcPr>
          <w:p>
            <w:r>
              <w:rPr>
                <w:rFonts w:ascii="Aptos" w:hAnsi="Aptos"/>
                <w:b w:val="0"/>
                <w:i w:val="0"/>
                <w:color w:val="2F292B"/>
                <w:sz w:val="18"/>
              </w:rPr>
              <w:t>How will I integrate?</w:t>
            </w:r>
          </w:p>
        </w:tc>
        <w:tc>
          <w:tcPr>
            <w:tcW w:type="dxa" w:w="2120"/>
            <w:vAlign w:val="center"/>
            <w:tcMar>
              <w:top w:w="100" w:type="dxa"/>
              <w:start w:w="140" w:type="dxa"/>
              <w:bottom w:w="100" w:type="dxa"/>
              <w:end w:w="140" w:type="dxa"/>
            </w:tcMar>
          </w:tcPr>
          <w:p>
            <w:r>
              <w:rPr>
                <w:rFonts w:ascii="Aptos" w:hAnsi="Aptos"/>
                <w:b w:val="0"/>
                <w:i w:val="0"/>
                <w:color w:val="2F292B"/>
                <w:sz w:val="18"/>
              </w:rPr>
              <w:t>Digital companion and saved prompts</w:t>
            </w:r>
          </w:p>
        </w:tc>
        <w:tc>
          <w:tcPr>
            <w:tcW w:type="dxa" w:w="2120"/>
            <w:vAlign w:val="center"/>
            <w:tcMar>
              <w:top w:w="100" w:type="dxa"/>
              <w:start w:w="140" w:type="dxa"/>
              <w:bottom w:w="100" w:type="dxa"/>
              <w:end w:w="140" w:type="dxa"/>
            </w:tcMar>
          </w:tcPr>
          <w:p>
            <w:r>
              <w:rPr>
                <w:rFonts w:ascii="Aptos" w:hAnsi="Aptos"/>
                <w:b w:val="0"/>
                <w:i w:val="0"/>
                <w:color w:val="2F292B"/>
                <w:sz w:val="18"/>
              </w:rPr>
              <w:t>Pause points and voice notes after listening</w:t>
            </w:r>
          </w:p>
        </w:tc>
        <w:tc>
          <w:tcPr>
            <w:tcW w:type="dxa" w:w="2120"/>
            <w:vAlign w:val="center"/>
            <w:tcMar>
              <w:top w:w="100" w:type="dxa"/>
              <w:start w:w="140" w:type="dxa"/>
              <w:bottom w:w="100" w:type="dxa"/>
              <w:end w:w="140" w:type="dxa"/>
            </w:tcMar>
          </w:tcPr>
          <w:p>
            <w:r>
              <w:rPr>
                <w:rFonts w:ascii="Aptos" w:hAnsi="Aptos"/>
                <w:b w:val="0"/>
                <w:i w:val="0"/>
                <w:color w:val="2F292B"/>
                <w:sz w:val="18"/>
              </w:rPr>
              <w:t>Margin notes, journal, and facilitated discussion</w:t>
            </w:r>
          </w:p>
        </w:tc>
      </w:tr>
    </w:tbl>
    <w:p/>
    <w:p>
      <w:pPr>
        <w:pStyle w:val="Heading2"/>
      </w:pPr>
      <w:r>
        <w:t>Resource 3: 30-Day Professional Calling Rhythm</w:t>
      </w:r>
    </w:p>
    <w:p>
      <w:pPr>
        <w:pStyle w:val="Heading3"/>
      </w:pPr>
      <w:r>
        <w:t>Days 1–7: Recognition</w:t>
      </w:r>
    </w:p>
    <w:p>
      <w:pPr>
        <w:pStyle w:val="ListBullet"/>
      </w:pPr>
      <w:r>
        <w:rPr>
          <w:rFonts w:ascii="Aptos" w:hAnsi="Aptos"/>
          <w:b w:val="0"/>
          <w:i w:val="0"/>
          <w:color w:val="2F292B"/>
          <w:sz w:val="21"/>
        </w:rPr>
        <w:t>Name the season you are in.</w:t>
      </w:r>
    </w:p>
    <w:p>
      <w:pPr>
        <w:pStyle w:val="ListBullet"/>
      </w:pPr>
      <w:r>
        <w:rPr>
          <w:rFonts w:ascii="Aptos" w:hAnsi="Aptos"/>
          <w:b w:val="0"/>
          <w:i w:val="0"/>
          <w:color w:val="2F292B"/>
          <w:sz w:val="21"/>
        </w:rPr>
        <w:t>Identify three experiences that keep returning to your attention.</w:t>
      </w:r>
    </w:p>
    <w:p>
      <w:pPr>
        <w:pStyle w:val="ListBullet"/>
      </w:pPr>
      <w:r>
        <w:rPr>
          <w:rFonts w:ascii="Aptos" w:hAnsi="Aptos"/>
          <w:b w:val="0"/>
          <w:i w:val="0"/>
          <w:color w:val="2F292B"/>
          <w:sz w:val="21"/>
        </w:rPr>
        <w:t>Choose one book or audio journey.</w:t>
      </w:r>
    </w:p>
    <w:p>
      <w:pPr>
        <w:pStyle w:val="ListBullet"/>
      </w:pPr>
      <w:r>
        <w:rPr>
          <w:rFonts w:ascii="Aptos" w:hAnsi="Aptos"/>
          <w:b w:val="0"/>
          <w:i w:val="0"/>
          <w:color w:val="2F292B"/>
          <w:sz w:val="21"/>
        </w:rPr>
        <w:t>Record one sentence after each reading or listening period.</w:t>
      </w:r>
    </w:p>
    <w:p>
      <w:pPr>
        <w:pStyle w:val="ListBullet"/>
      </w:pPr>
      <w:r>
        <w:rPr>
          <w:rFonts w:ascii="Aptos" w:hAnsi="Aptos"/>
          <w:b w:val="0"/>
          <w:i w:val="0"/>
          <w:color w:val="2F292B"/>
          <w:sz w:val="21"/>
        </w:rPr>
        <w:t>Notice where energy, grief, resistance, peace, and responsibility gather.</w:t>
      </w:r>
    </w:p>
    <w:p>
      <w:pPr>
        <w:pStyle w:val="Heading3"/>
      </w:pPr>
      <w:r>
        <w:t>Days 8–14: Integration</w:t>
      </w:r>
    </w:p>
    <w:p>
      <w:pPr>
        <w:pStyle w:val="ListBullet"/>
      </w:pPr>
      <w:r>
        <w:rPr>
          <w:rFonts w:ascii="Aptos" w:hAnsi="Aptos"/>
          <w:b w:val="0"/>
          <w:i w:val="0"/>
          <w:color w:val="2F292B"/>
          <w:sz w:val="21"/>
        </w:rPr>
        <w:t>Map the roles you carry and the values they express.</w:t>
      </w:r>
    </w:p>
    <w:p>
      <w:pPr>
        <w:pStyle w:val="ListBullet"/>
      </w:pPr>
      <w:r>
        <w:rPr>
          <w:rFonts w:ascii="Aptos" w:hAnsi="Aptos"/>
          <w:b w:val="0"/>
          <w:i w:val="0"/>
          <w:color w:val="2F292B"/>
          <w:sz w:val="21"/>
        </w:rPr>
        <w:t>Name one place where professional identity and spiritual identity feel separated.</w:t>
      </w:r>
    </w:p>
    <w:p>
      <w:pPr>
        <w:pStyle w:val="ListBullet"/>
      </w:pPr>
      <w:r>
        <w:rPr>
          <w:rFonts w:ascii="Aptos" w:hAnsi="Aptos"/>
          <w:b w:val="0"/>
          <w:i w:val="0"/>
          <w:color w:val="2F292B"/>
          <w:sz w:val="21"/>
        </w:rPr>
        <w:t>Write the story of one preparation that gained meaning later.</w:t>
      </w:r>
    </w:p>
    <w:p>
      <w:pPr>
        <w:pStyle w:val="ListBullet"/>
      </w:pPr>
      <w:r>
        <w:rPr>
          <w:rFonts w:ascii="Aptos" w:hAnsi="Aptos"/>
          <w:b w:val="0"/>
          <w:i w:val="0"/>
          <w:color w:val="2F292B"/>
          <w:sz w:val="21"/>
        </w:rPr>
        <w:t>Invite Scripture and evidence into the same reflection without forcing either.</w:t>
      </w:r>
    </w:p>
    <w:p>
      <w:pPr>
        <w:pStyle w:val="ListBullet"/>
      </w:pPr>
      <w:r>
        <w:rPr>
          <w:rFonts w:ascii="Aptos" w:hAnsi="Aptos"/>
          <w:b w:val="0"/>
          <w:i w:val="0"/>
          <w:color w:val="2F292B"/>
          <w:sz w:val="21"/>
        </w:rPr>
        <w:t>Identify one person whose counsel carries wisdom and context.</w:t>
      </w:r>
    </w:p>
    <w:p>
      <w:pPr>
        <w:pStyle w:val="Heading3"/>
      </w:pPr>
      <w:r>
        <w:t>Days 15–21: Discernment</w:t>
      </w:r>
    </w:p>
    <w:p>
      <w:pPr>
        <w:pStyle w:val="ListBullet"/>
      </w:pPr>
      <w:r>
        <w:rPr>
          <w:rFonts w:ascii="Aptos" w:hAnsi="Aptos"/>
          <w:b w:val="0"/>
          <w:i w:val="0"/>
          <w:color w:val="2F292B"/>
          <w:sz w:val="21"/>
        </w:rPr>
        <w:t>Separate the immediate decision from the larger calling question.</w:t>
      </w:r>
    </w:p>
    <w:p>
      <w:pPr>
        <w:pStyle w:val="ListBullet"/>
      </w:pPr>
      <w:r>
        <w:rPr>
          <w:rFonts w:ascii="Aptos" w:hAnsi="Aptos"/>
          <w:b w:val="0"/>
          <w:i w:val="0"/>
          <w:color w:val="2F292B"/>
          <w:sz w:val="21"/>
        </w:rPr>
        <w:t>List interpretations that remain possible.</w:t>
      </w:r>
    </w:p>
    <w:p>
      <w:pPr>
        <w:pStyle w:val="ListBullet"/>
      </w:pPr>
      <w:r>
        <w:rPr>
          <w:rFonts w:ascii="Aptos" w:hAnsi="Aptos"/>
          <w:b w:val="0"/>
          <w:i w:val="0"/>
          <w:color w:val="2F292B"/>
          <w:sz w:val="21"/>
        </w:rPr>
        <w:t>Name what needs time, testing, training, permission, resources, or counsel.</w:t>
      </w:r>
    </w:p>
    <w:p>
      <w:pPr>
        <w:pStyle w:val="ListBullet"/>
      </w:pPr>
      <w:r>
        <w:rPr>
          <w:rFonts w:ascii="Aptos" w:hAnsi="Aptos"/>
          <w:b w:val="0"/>
          <w:i w:val="0"/>
          <w:color w:val="2F292B"/>
          <w:sz w:val="21"/>
        </w:rPr>
        <w:t>Examine the likely fruit for you, the people served, and the systems affected.</w:t>
      </w:r>
    </w:p>
    <w:p>
      <w:pPr>
        <w:pStyle w:val="ListBullet"/>
      </w:pPr>
      <w:r>
        <w:rPr>
          <w:rFonts w:ascii="Aptos" w:hAnsi="Aptos"/>
          <w:b w:val="0"/>
          <w:i w:val="0"/>
          <w:color w:val="2F292B"/>
          <w:sz w:val="21"/>
        </w:rPr>
        <w:t>Choose one interpretation to hold provisionally.</w:t>
      </w:r>
    </w:p>
    <w:p>
      <w:pPr>
        <w:pStyle w:val="Heading3"/>
      </w:pPr>
      <w:r>
        <w:t>Days 22–30: Response</w:t>
      </w:r>
    </w:p>
    <w:p>
      <w:pPr>
        <w:pStyle w:val="ListBullet"/>
      </w:pPr>
      <w:r>
        <w:rPr>
          <w:rFonts w:ascii="Aptos" w:hAnsi="Aptos"/>
          <w:b w:val="0"/>
          <w:i w:val="0"/>
          <w:color w:val="2F292B"/>
          <w:sz w:val="21"/>
        </w:rPr>
        <w:t>Select one reversible experiment.</w:t>
      </w:r>
    </w:p>
    <w:p>
      <w:pPr>
        <w:pStyle w:val="ListBullet"/>
      </w:pPr>
      <w:r>
        <w:rPr>
          <w:rFonts w:ascii="Aptos" w:hAnsi="Aptos"/>
          <w:b w:val="0"/>
          <w:i w:val="0"/>
          <w:color w:val="2F292B"/>
          <w:sz w:val="21"/>
        </w:rPr>
        <w:t>Schedule one conversation.</w:t>
      </w:r>
    </w:p>
    <w:p>
      <w:pPr>
        <w:pStyle w:val="ListBullet"/>
      </w:pPr>
      <w:r>
        <w:rPr>
          <w:rFonts w:ascii="Aptos" w:hAnsi="Aptos"/>
          <w:b w:val="0"/>
          <w:i w:val="0"/>
          <w:color w:val="2F292B"/>
          <w:sz w:val="21"/>
        </w:rPr>
        <w:t>Create one boundary that protects the work.</w:t>
      </w:r>
    </w:p>
    <w:p>
      <w:pPr>
        <w:pStyle w:val="ListBullet"/>
      </w:pPr>
      <w:r>
        <w:rPr>
          <w:rFonts w:ascii="Aptos" w:hAnsi="Aptos"/>
          <w:b w:val="0"/>
          <w:i w:val="0"/>
          <w:color w:val="2F292B"/>
          <w:sz w:val="21"/>
        </w:rPr>
        <w:t>Take one act of service that does not depend on visibility.</w:t>
      </w:r>
    </w:p>
    <w:p>
      <w:pPr>
        <w:pStyle w:val="ListBullet"/>
      </w:pPr>
      <w:r>
        <w:rPr>
          <w:rFonts w:ascii="Aptos" w:hAnsi="Aptos"/>
          <w:b w:val="0"/>
          <w:i w:val="0"/>
          <w:color w:val="2F292B"/>
          <w:sz w:val="21"/>
        </w:rPr>
        <w:t>Review what changed, what deepened, and what still needs time.</w:t>
      </w:r>
    </w:p>
    <w:p>
      <w:pPr>
        <w:pStyle w:val="ListBullet"/>
      </w:pPr>
      <w:r>
        <w:rPr>
          <w:rFonts w:ascii="Aptos" w:hAnsi="Aptos"/>
          <w:b w:val="0"/>
          <w:i w:val="0"/>
          <w:color w:val="2F292B"/>
          <w:sz w:val="21"/>
        </w:rPr>
        <w:t>Write a 90-day stewardship statement.</w:t>
      </w:r>
    </w:p>
    <w:p>
      <w:pPr>
        <w:pStyle w:val="Heading2"/>
      </w:pPr>
      <w:r>
        <w:t>Resource 4: Discussion and Facilitation Guide</w:t>
      </w:r>
    </w:p>
    <w:p>
      <w:r>
        <w:rPr>
          <w:rFonts w:ascii="Aptos" w:hAnsi="Aptos"/>
          <w:b w:val="0"/>
          <w:i w:val="0"/>
          <w:color w:val="2F292B"/>
          <w:sz w:val="21"/>
        </w:rPr>
        <w:t>Recommended gathering length: 60–75 minutes. The facilitator protects dignity, time, privacy, theological humility, professional boundaries, and equitable participation.</w:t>
      </w:r>
    </w:p>
    <w:p>
      <w:pPr>
        <w:pStyle w:val="ListBullet"/>
      </w:pPr>
      <w:r>
        <w:rPr>
          <w:rFonts w:ascii="Aptos" w:hAnsi="Aptos"/>
          <w:b w:val="0"/>
          <w:i w:val="0"/>
          <w:color w:val="2F292B"/>
          <w:sz w:val="21"/>
        </w:rPr>
        <w:t>Arrival, 5 minutes: quiet breathing, brief prayer or reflection, and permission to arrive without performance.</w:t>
      </w:r>
    </w:p>
    <w:p>
      <w:pPr>
        <w:pStyle w:val="ListBullet"/>
      </w:pPr>
      <w:r>
        <w:rPr>
          <w:rFonts w:ascii="Aptos" w:hAnsi="Aptos"/>
          <w:b w:val="0"/>
          <w:i w:val="0"/>
          <w:color w:val="2F292B"/>
          <w:sz w:val="21"/>
        </w:rPr>
        <w:t>Opening covenant, 5 minutes: confidentiality, voluntary sharing, attentive listening, freedom from fixing, and exclusion of patient or confidential workplace information.</w:t>
      </w:r>
    </w:p>
    <w:p>
      <w:pPr>
        <w:pStyle w:val="ListBullet"/>
      </w:pPr>
      <w:r>
        <w:rPr>
          <w:rFonts w:ascii="Aptos" w:hAnsi="Aptos"/>
          <w:b w:val="0"/>
          <w:i w:val="0"/>
          <w:color w:val="2F292B"/>
          <w:sz w:val="21"/>
        </w:rPr>
        <w:t>Passage or audio excerpt, 10 minutes: read or listen once for understanding and once for resonance.</w:t>
      </w:r>
    </w:p>
    <w:p>
      <w:pPr>
        <w:pStyle w:val="ListBullet"/>
      </w:pPr>
      <w:r>
        <w:rPr>
          <w:rFonts w:ascii="Aptos" w:hAnsi="Aptos"/>
          <w:b w:val="0"/>
          <w:i w:val="0"/>
          <w:color w:val="2F292B"/>
          <w:sz w:val="21"/>
        </w:rPr>
        <w:t>Individual reflection, 10 minutes: write privately before discussion.</w:t>
      </w:r>
    </w:p>
    <w:p>
      <w:pPr>
        <w:pStyle w:val="ListBullet"/>
      </w:pPr>
      <w:r>
        <w:rPr>
          <w:rFonts w:ascii="Aptos" w:hAnsi="Aptos"/>
          <w:b w:val="0"/>
          <w:i w:val="0"/>
          <w:color w:val="2F292B"/>
          <w:sz w:val="21"/>
        </w:rPr>
        <w:t>Guided conversation, 25–35 minutes: use two or three questions and welcome silence.</w:t>
      </w:r>
    </w:p>
    <w:p>
      <w:pPr>
        <w:pStyle w:val="ListBullet"/>
      </w:pPr>
      <w:r>
        <w:rPr>
          <w:rFonts w:ascii="Aptos" w:hAnsi="Aptos"/>
          <w:b w:val="0"/>
          <w:i w:val="0"/>
          <w:color w:val="2F292B"/>
          <w:sz w:val="21"/>
        </w:rPr>
        <w:t>Integration, 10 minutes: each participant identifies one faithful, practical movement.</w:t>
      </w:r>
    </w:p>
    <w:p>
      <w:pPr>
        <w:pStyle w:val="ListBullet"/>
      </w:pPr>
      <w:r>
        <w:rPr>
          <w:rFonts w:ascii="Aptos" w:hAnsi="Aptos"/>
          <w:b w:val="0"/>
          <w:i w:val="0"/>
          <w:color w:val="2F292B"/>
          <w:sz w:val="21"/>
        </w:rPr>
        <w:t>Closing, 5 minutes: prayer, gratitude, or a quiet sentence of intention suited to the group.</w:t>
      </w:r>
    </w:p>
    <w:p>
      <w:r>
        <w:rPr>
          <w:rFonts w:ascii="Aptos" w:hAnsi="Aptos"/>
          <w:b w:val="0"/>
          <w:i w:val="0"/>
          <w:color w:val="2F292B"/>
          <w:sz w:val="21"/>
        </w:rPr>
        <w:t>Core questions: What remained with you? Where does this meet your present work? Which part of your identity has been carrying this question alone? What interpretation still needs testing? What response is faithful, proportionate, and possible now?</w:t>
      </w:r>
    </w:p>
    <w:p>
      <w:pPr>
        <w:pStyle w:val="Heading2"/>
      </w:pPr>
      <w:r>
        <w:t>Resource 5: Healthcare Professional Circle Safeguards</w:t>
      </w:r>
    </w:p>
    <w:p>
      <w:pPr>
        <w:pStyle w:val="ListBullet"/>
      </w:pPr>
      <w:r>
        <w:rPr>
          <w:rFonts w:ascii="Aptos" w:hAnsi="Aptos"/>
          <w:b w:val="0"/>
          <w:i w:val="0"/>
          <w:color w:val="2F292B"/>
          <w:sz w:val="21"/>
        </w:rPr>
        <w:t>Keep all discussion educational, reflective, and vocational. Individual medical care remains within an appropriate clinician-patient relationship.</w:t>
      </w:r>
    </w:p>
    <w:p>
      <w:pPr>
        <w:pStyle w:val="ListBullet"/>
      </w:pPr>
      <w:r>
        <w:rPr>
          <w:rFonts w:ascii="Aptos" w:hAnsi="Aptos"/>
          <w:b w:val="0"/>
          <w:i w:val="0"/>
          <w:color w:val="2F292B"/>
          <w:sz w:val="21"/>
        </w:rPr>
        <w:t>Exclude names, dates, locations, diagnoses, rare combinations, images, recordings, and contextual details that could identify patients or colleagues.</w:t>
      </w:r>
    </w:p>
    <w:p>
      <w:pPr>
        <w:pStyle w:val="ListBullet"/>
      </w:pPr>
      <w:r>
        <w:rPr>
          <w:rFonts w:ascii="Aptos" w:hAnsi="Aptos"/>
          <w:b w:val="0"/>
          <w:i w:val="0"/>
          <w:color w:val="2F292B"/>
          <w:sz w:val="21"/>
        </w:rPr>
        <w:t>Separate institutional policy, professional ethics, personal discernment, and clinical judgment in the language of the discussion.</w:t>
      </w:r>
    </w:p>
    <w:p>
      <w:pPr>
        <w:pStyle w:val="ListBullet"/>
      </w:pPr>
      <w:r>
        <w:rPr>
          <w:rFonts w:ascii="Aptos" w:hAnsi="Aptos"/>
          <w:b w:val="0"/>
          <w:i w:val="0"/>
          <w:color w:val="2F292B"/>
          <w:sz w:val="21"/>
        </w:rPr>
        <w:t>Invite participants to use composite-free, de-identified personal reflection centered on their own response rather than another person’s story.</w:t>
      </w:r>
    </w:p>
    <w:p>
      <w:pPr>
        <w:pStyle w:val="ListBullet"/>
      </w:pPr>
      <w:r>
        <w:rPr>
          <w:rFonts w:ascii="Aptos" w:hAnsi="Aptos"/>
          <w:b w:val="0"/>
          <w:i w:val="0"/>
          <w:color w:val="2F292B"/>
          <w:sz w:val="21"/>
        </w:rPr>
        <w:t>Escalate immediate safety, impairment, harassment, discrimination, or clinical-risk concerns through appropriate professional and institutional channels.</w:t>
      </w:r>
    </w:p>
    <w:p>
      <w:pPr>
        <w:pStyle w:val="ListBullet"/>
      </w:pPr>
      <w:r>
        <w:rPr>
          <w:rFonts w:ascii="Aptos" w:hAnsi="Aptos"/>
          <w:b w:val="0"/>
          <w:i w:val="0"/>
          <w:color w:val="2F292B"/>
          <w:sz w:val="21"/>
        </w:rPr>
        <w:t>Honor conscience, denominational differences, spiritual maturity, disability, culture, career stage, and professional hierarchy.</w:t>
      </w:r>
    </w:p>
    <w:p>
      <w:pPr>
        <w:pStyle w:val="Heading2"/>
      </w:pPr>
      <w:r>
        <w:t>Resource 6: Audio Reflection Companion</w:t>
      </w:r>
    </w:p>
    <w:p>
      <w:r>
        <w:rPr>
          <w:rFonts w:ascii="Aptos" w:hAnsi="Aptos"/>
          <w:b/>
          <w:i w:val="0"/>
          <w:color w:val="2F292B"/>
          <w:sz w:val="21"/>
        </w:rPr>
        <w:t>Before listening:</w:t>
      </w:r>
      <w:r>
        <w:rPr>
          <w:rFonts w:ascii="Aptos" w:hAnsi="Aptos"/>
          <w:b w:val="0"/>
          <w:i w:val="0"/>
          <w:color w:val="2F292B"/>
          <w:sz w:val="21"/>
        </w:rPr>
        <w:t xml:space="preserve"> What question am I carrying? What environment will support attention and safety?</w:t>
      </w:r>
    </w:p>
    <w:p>
      <w:r>
        <w:rPr>
          <w:rFonts w:ascii="Aptos" w:hAnsi="Aptos"/>
          <w:b/>
          <w:i w:val="0"/>
          <w:color w:val="2F292B"/>
          <w:sz w:val="21"/>
        </w:rPr>
        <w:t>During listening:</w:t>
      </w:r>
      <w:r>
        <w:rPr>
          <w:rFonts w:ascii="Aptos" w:hAnsi="Aptos"/>
          <w:b w:val="0"/>
          <w:i w:val="0"/>
          <w:color w:val="2F292B"/>
          <w:sz w:val="21"/>
        </w:rPr>
        <w:t xml:space="preserve"> What phrase changes my breathing, pace, memory, emotion, or attention?</w:t>
      </w:r>
    </w:p>
    <w:p>
      <w:r>
        <w:rPr>
          <w:rFonts w:ascii="Aptos" w:hAnsi="Aptos"/>
          <w:b/>
          <w:i w:val="0"/>
          <w:color w:val="2F292B"/>
          <w:sz w:val="21"/>
        </w:rPr>
        <w:t>Pause point:</w:t>
      </w:r>
      <w:r>
        <w:rPr>
          <w:rFonts w:ascii="Aptos" w:hAnsi="Aptos"/>
          <w:b w:val="0"/>
          <w:i w:val="0"/>
          <w:color w:val="2F292B"/>
          <w:sz w:val="21"/>
        </w:rPr>
        <w:t xml:space="preserve"> What do I want to replay? What interpretation am I tempted to rush?</w:t>
      </w:r>
    </w:p>
    <w:p>
      <w:r>
        <w:rPr>
          <w:rFonts w:ascii="Aptos" w:hAnsi="Aptos"/>
          <w:b/>
          <w:i w:val="0"/>
          <w:color w:val="2F292B"/>
          <w:sz w:val="21"/>
        </w:rPr>
        <w:t>After listening:</w:t>
      </w:r>
      <w:r>
        <w:rPr>
          <w:rFonts w:ascii="Aptos" w:hAnsi="Aptos"/>
          <w:b w:val="0"/>
          <w:i w:val="0"/>
          <w:color w:val="2F292B"/>
          <w:sz w:val="21"/>
        </w:rPr>
        <w:t xml:space="preserve"> What did I hear, what did I infer, what did I feel, and what needs further testing?</w:t>
      </w:r>
    </w:p>
    <w:p>
      <w:r>
        <w:rPr>
          <w:rFonts w:ascii="Aptos" w:hAnsi="Aptos"/>
          <w:b/>
          <w:i w:val="0"/>
          <w:color w:val="2F292B"/>
          <w:sz w:val="21"/>
        </w:rPr>
        <w:t>Integration:</w:t>
      </w:r>
      <w:r>
        <w:rPr>
          <w:rFonts w:ascii="Aptos" w:hAnsi="Aptos"/>
          <w:b w:val="0"/>
          <w:i w:val="0"/>
          <w:color w:val="2F292B"/>
          <w:sz w:val="21"/>
        </w:rPr>
        <w:t xml:space="preserve"> What one action, conversation, boundary, prayer, or experiment belongs to the next seven days?</w:t>
      </w:r>
    </w:p>
    <w:p>
      <w:pPr>
        <w:pStyle w:val="Heading1"/>
      </w:pPr>
      <w:r>
        <w:t>6. Audiobook production guide</w:t>
      </w:r>
    </w:p>
    <w:p>
      <w:pPr>
        <w:pStyle w:val="Heading2"/>
      </w:pPr>
      <w:r>
        <w:t>Voice standard</w:t>
      </w:r>
    </w:p>
    <w:p>
      <w:r>
        <w:rPr>
          <w:rFonts w:ascii="Aptos" w:hAnsi="Aptos"/>
          <w:b w:val="0"/>
          <w:i w:val="0"/>
          <w:color w:val="2F292B"/>
          <w:sz w:val="21"/>
        </w:rPr>
        <w:t>Use Dr. Brown’s natural voice for signature works. The desired sound is formal, warm, intelligent, unhurried, spiritually attentive, and emotionally grounded. Preserve clarity over theatricality. Let sacred passages breathe. Let scientific language remain exact. Let personal testimony carry intimacy without spectacle.</w:t>
      </w:r>
    </w:p>
    <w:p>
      <w:pPr>
        <w:pStyle w:val="Heading2"/>
      </w:pPr>
      <w:r>
        <w:t>Chapter design</w:t>
      </w:r>
    </w:p>
    <w:p>
      <w:pPr>
        <w:pStyle w:val="ListBullet"/>
      </w:pPr>
      <w:r>
        <w:rPr>
          <w:rFonts w:ascii="Aptos" w:hAnsi="Aptos"/>
          <w:b w:val="0"/>
          <w:i w:val="0"/>
          <w:color w:val="2F292B"/>
          <w:sz w:val="21"/>
        </w:rPr>
        <w:t>Target 12–20 minutes per listening chapter. Divide longer chapters at natural conceptual or narrative thresholds.</w:t>
      </w:r>
    </w:p>
    <w:p>
      <w:pPr>
        <w:pStyle w:val="ListBullet"/>
      </w:pPr>
      <w:r>
        <w:rPr>
          <w:rFonts w:ascii="Aptos" w:hAnsi="Aptos"/>
          <w:b w:val="0"/>
          <w:i w:val="0"/>
          <w:color w:val="2F292B"/>
          <w:sz w:val="21"/>
        </w:rPr>
        <w:t>Open with the exact book and chapter title. Add a one-sentence orientation only when it helps the listener enter.</w:t>
      </w:r>
    </w:p>
    <w:p>
      <w:pPr>
        <w:pStyle w:val="ListBullet"/>
      </w:pPr>
      <w:r>
        <w:rPr>
          <w:rFonts w:ascii="Aptos" w:hAnsi="Aptos"/>
          <w:b w:val="0"/>
          <w:i w:val="0"/>
          <w:color w:val="2F292B"/>
          <w:sz w:val="21"/>
        </w:rPr>
        <w:t>Use brief pauses after Scripture, consequential questions, major transitions, and reflection prompts.</w:t>
      </w:r>
    </w:p>
    <w:p>
      <w:pPr>
        <w:pStyle w:val="ListBullet"/>
      </w:pPr>
      <w:r>
        <w:rPr>
          <w:rFonts w:ascii="Aptos" w:hAnsi="Aptos"/>
          <w:b w:val="0"/>
          <w:i w:val="0"/>
          <w:color w:val="2F292B"/>
          <w:sz w:val="21"/>
        </w:rPr>
        <w:t>End with one integration question and a clear invitation to pause, continue, or open the companion.</w:t>
      </w:r>
    </w:p>
    <w:p>
      <w:pPr>
        <w:pStyle w:val="ListBullet"/>
      </w:pPr>
      <w:r>
        <w:rPr>
          <w:rFonts w:ascii="Aptos" w:hAnsi="Aptos"/>
          <w:b w:val="0"/>
          <w:i w:val="0"/>
          <w:color w:val="2F292B"/>
          <w:sz w:val="21"/>
        </w:rPr>
        <w:t>Record prayers and guided reflections as distinct tracks when readers may replay them independently.</w:t>
      </w:r>
    </w:p>
    <w:p>
      <w:pPr>
        <w:pStyle w:val="Heading2"/>
      </w:pPr>
      <w:r>
        <w:t>Recording preparation</w:t>
      </w:r>
    </w:p>
    <w:p>
      <w:pPr>
        <w:pStyle w:val="ListBullet"/>
      </w:pPr>
      <w:r>
        <w:rPr>
          <w:rFonts w:ascii="Aptos" w:hAnsi="Aptos"/>
          <w:b w:val="0"/>
          <w:i w:val="0"/>
          <w:color w:val="2F292B"/>
          <w:sz w:val="21"/>
        </w:rPr>
        <w:t>Prepare a pronunciation sheet for names, medical terms, scientific terms, Hebrew or Greek terms, places, and Scripture references.</w:t>
      </w:r>
    </w:p>
    <w:p>
      <w:pPr>
        <w:pStyle w:val="ListBullet"/>
      </w:pPr>
      <w:r>
        <w:rPr>
          <w:rFonts w:ascii="Aptos" w:hAnsi="Aptos"/>
          <w:b w:val="0"/>
          <w:i w:val="0"/>
          <w:color w:val="2F292B"/>
          <w:sz w:val="21"/>
        </w:rPr>
        <w:t>Mark the script for breath, emphasis, pacing, and silence while keeping the words unchanged.</w:t>
      </w:r>
    </w:p>
    <w:p>
      <w:pPr>
        <w:pStyle w:val="ListBullet"/>
      </w:pPr>
      <w:r>
        <w:rPr>
          <w:rFonts w:ascii="Aptos" w:hAnsi="Aptos"/>
          <w:b w:val="0"/>
          <w:i w:val="0"/>
          <w:color w:val="2F292B"/>
          <w:sz w:val="21"/>
        </w:rPr>
        <w:t>Record in a quiet, acoustically softened room with a stable microphone position and consistent distance.</w:t>
      </w:r>
    </w:p>
    <w:p>
      <w:pPr>
        <w:pStyle w:val="ListBullet"/>
      </w:pPr>
      <w:r>
        <w:rPr>
          <w:rFonts w:ascii="Aptos" w:hAnsi="Aptos"/>
          <w:b w:val="0"/>
          <w:i w:val="0"/>
          <w:color w:val="2F292B"/>
          <w:sz w:val="21"/>
        </w:rPr>
        <w:t>Capture room tone at the beginning of each session. Hydrate, warm the voice, silence notifications, and record in manageable blocks.</w:t>
      </w:r>
    </w:p>
    <w:p>
      <w:pPr>
        <w:pStyle w:val="ListBullet"/>
      </w:pPr>
      <w:r>
        <w:rPr>
          <w:rFonts w:ascii="Aptos" w:hAnsi="Aptos"/>
          <w:b w:val="0"/>
          <w:i w:val="0"/>
          <w:color w:val="2F292B"/>
          <w:sz w:val="21"/>
        </w:rPr>
        <w:t>Use descriptive filenames: BookTitle_ChapterNumber_ChapterTitle_TakeNumber.wav.</w:t>
      </w:r>
    </w:p>
    <w:p>
      <w:pPr>
        <w:pStyle w:val="ListBullet"/>
      </w:pPr>
      <w:r>
        <w:rPr>
          <w:rFonts w:ascii="Aptos" w:hAnsi="Aptos"/>
          <w:b w:val="0"/>
          <w:i w:val="0"/>
          <w:color w:val="2F292B"/>
          <w:sz w:val="21"/>
        </w:rPr>
        <w:t>Retain the unprocessed master recording, edited lossless master, distribution file, script version, rights record, and quality-control notes.</w:t>
      </w:r>
    </w:p>
    <w:p>
      <w:pPr>
        <w:pStyle w:val="Heading2"/>
      </w:pPr>
      <w:r>
        <w:t>Audio quality review</w:t>
      </w:r>
    </w:p>
    <w:p>
      <w:pPr>
        <w:pStyle w:val="ListBullet"/>
      </w:pPr>
      <w:r>
        <w:rPr>
          <w:rFonts w:ascii="Aptos" w:hAnsi="Aptos"/>
          <w:b w:val="0"/>
          <w:i w:val="0"/>
          <w:color w:val="2F292B"/>
          <w:sz w:val="21"/>
        </w:rPr>
        <w:t>Correct misreads, missing phrases, mouth noise, harsh edits, inconsistent volume, background noise, and accidental repetitions.</w:t>
      </w:r>
    </w:p>
    <w:p>
      <w:pPr>
        <w:pStyle w:val="ListBullet"/>
      </w:pPr>
      <w:r>
        <w:rPr>
          <w:rFonts w:ascii="Aptos" w:hAnsi="Aptos"/>
          <w:b w:val="0"/>
          <w:i w:val="0"/>
          <w:color w:val="2F292B"/>
          <w:sz w:val="21"/>
        </w:rPr>
        <w:t>Verify chapter order, opening and closing language, Scripture references, credentials, names, and pronunciations.</w:t>
      </w:r>
    </w:p>
    <w:p>
      <w:pPr>
        <w:pStyle w:val="ListBullet"/>
      </w:pPr>
      <w:r>
        <w:rPr>
          <w:rFonts w:ascii="Aptos" w:hAnsi="Aptos"/>
          <w:b w:val="0"/>
          <w:i w:val="0"/>
          <w:color w:val="2F292B"/>
          <w:sz w:val="21"/>
        </w:rPr>
        <w:t>Listen on headphones, phone speaker, and a common car or room speaker.</w:t>
      </w:r>
    </w:p>
    <w:p>
      <w:pPr>
        <w:pStyle w:val="ListBullet"/>
      </w:pPr>
      <w:r>
        <w:rPr>
          <w:rFonts w:ascii="Aptos" w:hAnsi="Aptos"/>
          <w:b w:val="0"/>
          <w:i w:val="0"/>
          <w:color w:val="2F292B"/>
          <w:sz w:val="21"/>
        </w:rPr>
        <w:t>Confirm metadata, cover art, title, author name, narrator, chapter names, rights, and publication year.</w:t>
      </w:r>
    </w:p>
    <w:p>
      <w:pPr>
        <w:pStyle w:val="ListBullet"/>
      </w:pPr>
      <w:r>
        <w:rPr>
          <w:rFonts w:ascii="Aptos" w:hAnsi="Aptos"/>
          <w:b w:val="0"/>
          <w:i w:val="0"/>
          <w:color w:val="2F292B"/>
          <w:sz w:val="21"/>
        </w:rPr>
        <w:t>Use AI assistance only within documented rights, privacy, disclosure, and quality standards. Preserve human review and the author’s final authority.</w:t>
      </w:r>
    </w:p>
    <w:p>
      <w:pPr>
        <w:pStyle w:val="Heading1"/>
      </w:pPr>
      <w:r>
        <w:t>7. Ready-to-record video scripts</w:t>
      </w:r>
    </w:p>
    <w:p>
      <w:pPr>
        <w:pStyle w:val="Heading2"/>
      </w:pPr>
      <w:r>
        <w:t>Video 1 | 30 seconds</w:t>
      </w:r>
    </w:p>
    <w:p>
      <w:r>
        <w:rPr>
          <w:rFonts w:ascii="Aptos" w:hAnsi="Aptos"/>
          <w:b w:val="0"/>
          <w:i/>
          <w:color w:val="2F292B"/>
          <w:sz w:val="21"/>
        </w:rPr>
        <w:t>The work you carry</w:t>
      </w:r>
    </w:p>
    <w:p>
      <w:r>
        <w:rPr>
          <w:rFonts w:ascii="Aptos" w:hAnsi="Aptos"/>
          <w:b/>
          <w:i w:val="0"/>
          <w:color w:val="2F292B"/>
          <w:sz w:val="21"/>
        </w:rPr>
        <w:t>Visual direction:</w:t>
      </w:r>
      <w:r>
        <w:rPr>
          <w:rFonts w:ascii="Aptos" w:hAnsi="Aptos"/>
          <w:b w:val="0"/>
          <w:i w:val="0"/>
          <w:color w:val="2F292B"/>
          <w:sz w:val="21"/>
        </w:rPr>
        <w:t xml:space="preserve"> Vertical short; direct-to-camera; calm crimson or ivory setting</w:t>
      </w:r>
    </w:p>
    <w:p>
      <w:r>
        <w:rPr>
          <w:rFonts w:ascii="Aptos" w:hAnsi="Aptos"/>
          <w:b w:val="0"/>
          <w:i w:val="0"/>
          <w:color w:val="2F292B"/>
          <w:sz w:val="21"/>
        </w:rPr>
        <w:t>You may have spent years preparing for work that now feels larger than a role. Your education, faith, lived experience, and seasons of transition may be gathering into one clearer calling. This reading pathway was created to help you recognize that convergence, reflect with honesty, and take the next faithful step.</w:t>
      </w:r>
    </w:p>
    <w:p>
      <w:r>
        <w:rPr>
          <w:rFonts w:ascii="Aptos" w:hAnsi="Aptos"/>
          <w:b/>
          <w:i w:val="0"/>
          <w:color w:val="2F292B"/>
          <w:sz w:val="21"/>
        </w:rPr>
        <w:t>On-screen call to action:</w:t>
      </w:r>
      <w:r>
        <w:rPr>
          <w:rFonts w:ascii="Aptos" w:hAnsi="Aptos"/>
          <w:b w:val="0"/>
          <w:i w:val="0"/>
          <w:color w:val="2F292B"/>
          <w:sz w:val="21"/>
        </w:rPr>
        <w:t xml:space="preserve"> Enter the Professional Calling Reading Pathway.</w:t>
      </w:r>
    </w:p>
    <w:p>
      <w:pPr>
        <w:pStyle w:val="Heading2"/>
      </w:pPr>
      <w:r>
        <w:t>Video 2 | 60 seconds</w:t>
      </w:r>
    </w:p>
    <w:p>
      <w:r>
        <w:rPr>
          <w:rFonts w:ascii="Aptos" w:hAnsi="Aptos"/>
          <w:b w:val="0"/>
          <w:i/>
          <w:color w:val="2F292B"/>
          <w:sz w:val="21"/>
        </w:rPr>
        <w:t>For women in healthcare and science</w:t>
      </w:r>
    </w:p>
    <w:p>
      <w:r>
        <w:rPr>
          <w:rFonts w:ascii="Aptos" w:hAnsi="Aptos"/>
          <w:b/>
          <w:i w:val="0"/>
          <w:color w:val="2F292B"/>
          <w:sz w:val="21"/>
        </w:rPr>
        <w:t>Visual direction:</w:t>
      </w:r>
      <w:r>
        <w:rPr>
          <w:rFonts w:ascii="Aptos" w:hAnsi="Aptos"/>
          <w:b w:val="0"/>
          <w:i w:val="0"/>
          <w:color w:val="2F292B"/>
          <w:sz w:val="21"/>
        </w:rPr>
        <w:t xml:space="preserve"> Vertical short; professional setting; warm, measured pace</w:t>
      </w:r>
    </w:p>
    <w:p>
      <w:r>
        <w:rPr>
          <w:rFonts w:ascii="Aptos" w:hAnsi="Aptos"/>
          <w:b w:val="0"/>
          <w:i w:val="0"/>
          <w:color w:val="2F292B"/>
          <w:sz w:val="21"/>
        </w:rPr>
        <w:t>If you are a woman in medicine, science, research, healthcare leadership, or education, you already know how much responsibility can live inside a capable life. Yet capability alone cannot answer every question of calling. Some questions ask what your preparation means, whom it may serve, which parts of your identity belong together, and what this season requires. Here, digital books, human-voiced audio, Scripture-shaped reflection, and thoughtful community help you gather professional preparation and spiritual formation into a life of deliberate stewardship.</w:t>
      </w:r>
    </w:p>
    <w:p>
      <w:r>
        <w:rPr>
          <w:rFonts w:ascii="Aptos" w:hAnsi="Aptos"/>
          <w:b/>
          <w:i w:val="0"/>
          <w:color w:val="2F292B"/>
          <w:sz w:val="21"/>
        </w:rPr>
        <w:t>On-screen call to action:</w:t>
      </w:r>
      <w:r>
        <w:rPr>
          <w:rFonts w:ascii="Aptos" w:hAnsi="Aptos"/>
          <w:b w:val="0"/>
          <w:i w:val="0"/>
          <w:color w:val="2F292B"/>
          <w:sz w:val="21"/>
        </w:rPr>
        <w:t xml:space="preserve"> Choose the book or listening journey that meets your present season.</w:t>
      </w:r>
    </w:p>
    <w:p>
      <w:pPr>
        <w:pStyle w:val="Heading2"/>
      </w:pPr>
      <w:r>
        <w:t>Video 3 | 90 seconds</w:t>
      </w:r>
    </w:p>
    <w:p>
      <w:r>
        <w:rPr>
          <w:rFonts w:ascii="Aptos" w:hAnsi="Aptos"/>
          <w:b w:val="0"/>
          <w:i/>
          <w:color w:val="2F292B"/>
          <w:sz w:val="21"/>
        </w:rPr>
        <w:t>How the pathway works</w:t>
      </w:r>
    </w:p>
    <w:p>
      <w:r>
        <w:rPr>
          <w:rFonts w:ascii="Aptos" w:hAnsi="Aptos"/>
          <w:b/>
          <w:i w:val="0"/>
          <w:color w:val="2F292B"/>
          <w:sz w:val="21"/>
        </w:rPr>
        <w:t>Visual direction:</w:t>
      </w:r>
      <w:r>
        <w:rPr>
          <w:rFonts w:ascii="Aptos" w:hAnsi="Aptos"/>
          <w:b w:val="0"/>
          <w:i w:val="0"/>
          <w:color w:val="2F292B"/>
          <w:sz w:val="21"/>
        </w:rPr>
        <w:t xml:space="preserve"> Landscape or vertical; alternate direct-to-camera with wordless reading and listening footage</w:t>
      </w:r>
    </w:p>
    <w:p>
      <w:r>
        <w:rPr>
          <w:rFonts w:ascii="Aptos" w:hAnsi="Aptos"/>
          <w:b w:val="0"/>
          <w:i w:val="0"/>
          <w:color w:val="2F292B"/>
          <w:sz w:val="21"/>
        </w:rPr>
        <w:t>Begin with the question already living in your life. Choose the book that meets your present season. Read digitally when you need search, adjustable type, bookmarks, and immediate access. Listen while you walk, travel, rest, or step away from another screen. Choose a premium print edition when you want tactile reflection, gifting, or a shared object at the center of a gathering. Then move through four movements. Recognize what remains with you. Reflect across faith, evidence, experience, emotion, and responsibility. Discern what needs testing, time, counsel, or separation. Respond through one concrete action, conversation, boundary, experiment, prayer, or act of service. The pathway gives insight somewhere to go.</w:t>
      </w:r>
    </w:p>
    <w:p>
      <w:r>
        <w:rPr>
          <w:rFonts w:ascii="Aptos" w:hAnsi="Aptos"/>
          <w:b/>
          <w:i w:val="0"/>
          <w:color w:val="2F292B"/>
          <w:sz w:val="21"/>
        </w:rPr>
        <w:t>On-screen call to action:</w:t>
      </w:r>
      <w:r>
        <w:rPr>
          <w:rFonts w:ascii="Aptos" w:hAnsi="Aptos"/>
          <w:b w:val="0"/>
          <w:i w:val="0"/>
          <w:color w:val="2F292B"/>
          <w:sz w:val="21"/>
        </w:rPr>
        <w:t xml:space="preserve"> Start with your preferred format.</w:t>
      </w:r>
    </w:p>
    <w:p>
      <w:pPr>
        <w:pStyle w:val="Heading2"/>
      </w:pPr>
      <w:r>
        <w:t>Video 4 | 2 minutes</w:t>
      </w:r>
    </w:p>
    <w:p>
      <w:r>
        <w:rPr>
          <w:rFonts w:ascii="Aptos" w:hAnsi="Aptos"/>
          <w:b w:val="0"/>
          <w:i/>
          <w:color w:val="2F292B"/>
          <w:sz w:val="21"/>
        </w:rPr>
        <w:t>Why I am using my own voice</w:t>
      </w:r>
    </w:p>
    <w:p>
      <w:r>
        <w:rPr>
          <w:rFonts w:ascii="Aptos" w:hAnsi="Aptos"/>
          <w:b/>
          <w:i w:val="0"/>
          <w:color w:val="2F292B"/>
          <w:sz w:val="21"/>
        </w:rPr>
        <w:t>Visual direction:</w:t>
      </w:r>
      <w:r>
        <w:rPr>
          <w:rFonts w:ascii="Aptos" w:hAnsi="Aptos"/>
          <w:b w:val="0"/>
          <w:i w:val="0"/>
          <w:color w:val="2F292B"/>
          <w:sz w:val="21"/>
        </w:rPr>
        <w:t xml:space="preserve"> Direct-to-camera in a quiet recording setting</w:t>
      </w:r>
    </w:p>
    <w:p>
      <w:r>
        <w:rPr>
          <w:rFonts w:ascii="Aptos" w:hAnsi="Aptos"/>
          <w:b w:val="0"/>
          <w:i w:val="0"/>
          <w:color w:val="2F292B"/>
          <w:sz w:val="21"/>
        </w:rPr>
        <w:t>A book can carry information through its words. A voice can also carry pace, tenderness, gravity, humor, restraint, and the silence around a question. For these books, I want you to hear the physician-scientist who values precision, the educator who wants ideas to become usable, the woman of faith who knows that discernment deserves patience, and the human being whose own life has unfolded through preparation, interruption, grief, discovery, and calling. I am creating human-voiced audio because many of the readers I serve live full lives. They may listen while commuting, walking, traveling, resting, or moving between responsibilities. Audio can meet them there. The companion resources then create space to stop, write, pray, test meaning, and choose a faithful response. My voice will serve the work with clarity and presence, while the reader retains the freedom to move at the pace her own life requires.</w:t>
      </w:r>
    </w:p>
    <w:p>
      <w:r>
        <w:rPr>
          <w:rFonts w:ascii="Aptos" w:hAnsi="Aptos"/>
          <w:b/>
          <w:i w:val="0"/>
          <w:color w:val="2F292B"/>
          <w:sz w:val="21"/>
        </w:rPr>
        <w:t>On-screen call to action:</w:t>
      </w:r>
      <w:r>
        <w:rPr>
          <w:rFonts w:ascii="Aptos" w:hAnsi="Aptos"/>
          <w:b w:val="0"/>
          <w:i w:val="0"/>
          <w:color w:val="2F292B"/>
          <w:sz w:val="21"/>
        </w:rPr>
        <w:t xml:space="preserve"> Listen to the first available chapter and open the Audio Reflection Companion.</w:t>
      </w:r>
    </w:p>
    <w:p>
      <w:pPr>
        <w:pStyle w:val="Heading2"/>
      </w:pPr>
      <w:r>
        <w:t>Video 5 | 3 minutes</w:t>
      </w:r>
    </w:p>
    <w:p>
      <w:r>
        <w:rPr>
          <w:rFonts w:ascii="Aptos" w:hAnsi="Aptos"/>
          <w:b w:val="0"/>
          <w:i/>
          <w:color w:val="2F292B"/>
          <w:sz w:val="21"/>
        </w:rPr>
        <w:t>My physician-scientist lens on calling</w:t>
      </w:r>
    </w:p>
    <w:p>
      <w:r>
        <w:rPr>
          <w:rFonts w:ascii="Aptos" w:hAnsi="Aptos"/>
          <w:b/>
          <w:i w:val="0"/>
          <w:color w:val="2F292B"/>
          <w:sz w:val="21"/>
        </w:rPr>
        <w:t>Visual direction:</w:t>
      </w:r>
      <w:r>
        <w:rPr>
          <w:rFonts w:ascii="Aptos" w:hAnsi="Aptos"/>
          <w:b w:val="0"/>
          <w:i w:val="0"/>
          <w:color w:val="2F292B"/>
          <w:sz w:val="21"/>
        </w:rPr>
        <w:t xml:space="preserve"> Landscape feature; direct-to-camera with subtle wordless professional imagery</w:t>
      </w:r>
    </w:p>
    <w:p>
      <w:r>
        <w:rPr>
          <w:rFonts w:ascii="Aptos" w:hAnsi="Aptos"/>
          <w:b w:val="0"/>
          <w:i w:val="0"/>
          <w:color w:val="2F292B"/>
          <w:sz w:val="21"/>
        </w:rPr>
        <w:t>Medicine and science trained me to observe carefully, distinguish evidence from interpretation, remain honest about uncertainty, and revise a conclusion when new information appears. Faith taught me to listen for meaning, receive Scripture with reverence, attend to formation, and understand that a life can carry purpose before the full pattern becomes visible. These ways of knowing can enter a disciplined conversation. Professional preparation gives us knowledge, skill, responsibility, and tested habits. Spiritual formation shapes character, stewardship, obedience, humility, and relationship with God. Lived experience gives texture: the doors that opened, the losses that changed us, the assignments that kept returning, and the questions that would not disappear. Calling may become clearer where these streams converge. This pathway gives women a place to examine that convergence carefully. We can honor evidence, name personal testimony, hold spiritual discernment with humility, seek counsel, and choose practical next steps. The goal is a life in which intellect, faith, responsibility, and service can move together with integrity.</w:t>
      </w:r>
    </w:p>
    <w:p>
      <w:r>
        <w:rPr>
          <w:rFonts w:ascii="Aptos" w:hAnsi="Aptos"/>
          <w:b/>
          <w:i w:val="0"/>
          <w:color w:val="2F292B"/>
          <w:sz w:val="21"/>
        </w:rPr>
        <w:t>On-screen call to action:</w:t>
      </w:r>
      <w:r>
        <w:rPr>
          <w:rFonts w:ascii="Aptos" w:hAnsi="Aptos"/>
          <w:b w:val="0"/>
          <w:i w:val="0"/>
          <w:color w:val="2F292B"/>
          <w:sz w:val="21"/>
        </w:rPr>
        <w:t xml:space="preserve"> Enter the Calling and Convergence journey.</w:t>
      </w:r>
    </w:p>
    <w:p>
      <w:pPr>
        <w:pStyle w:val="Heading2"/>
      </w:pPr>
      <w:r>
        <w:t>Video 6 | 3 minutes</w:t>
      </w:r>
    </w:p>
    <w:p>
      <w:r>
        <w:rPr>
          <w:rFonts w:ascii="Aptos" w:hAnsi="Aptos"/>
          <w:b w:val="0"/>
          <w:i/>
          <w:color w:val="2F292B"/>
          <w:sz w:val="21"/>
        </w:rPr>
        <w:t>When capability is carrying too much</w:t>
      </w:r>
    </w:p>
    <w:p>
      <w:r>
        <w:rPr>
          <w:rFonts w:ascii="Aptos" w:hAnsi="Aptos"/>
          <w:b/>
          <w:i w:val="0"/>
          <w:color w:val="2F292B"/>
          <w:sz w:val="21"/>
        </w:rPr>
        <w:t>Visual direction:</w:t>
      </w:r>
      <w:r>
        <w:rPr>
          <w:rFonts w:ascii="Aptos" w:hAnsi="Aptos"/>
          <w:b w:val="0"/>
          <w:i w:val="0"/>
          <w:color w:val="2F292B"/>
          <w:sz w:val="21"/>
        </w:rPr>
        <w:t xml:space="preserve"> Vertical or landscape; close, compassionate framing</w:t>
      </w:r>
    </w:p>
    <w:p>
      <w:r>
        <w:rPr>
          <w:rFonts w:ascii="Aptos" w:hAnsi="Aptos"/>
          <w:b w:val="0"/>
          <w:i w:val="0"/>
          <w:color w:val="2F292B"/>
          <w:sz w:val="21"/>
        </w:rPr>
        <w:t>A capable woman can become the place where every unfinished need is deposited. People see that she can solve, hold, lead, organize, teach, heal, decide, and endure. Over time, capability can become confused with calling. The fact that you can carry something does not automatically reveal how long you should carry it, whether you should carry it alone, or whether it belongs to your present assignment. Discernment asks deeper questions. What fruit is this producing? What responsibility is truly mine? What boundary protects the people I serve and the person I am becoming? What support, delegation, compensation, training, or release does faithful stewardship require? This reading pathway creates room for those questions. It honors competence while helping you listen for proportion, season, relationship, and purpose.</w:t>
      </w:r>
    </w:p>
    <w:p>
      <w:r>
        <w:rPr>
          <w:rFonts w:ascii="Aptos" w:hAnsi="Aptos"/>
          <w:b/>
          <w:i w:val="0"/>
          <w:color w:val="2F292B"/>
          <w:sz w:val="21"/>
        </w:rPr>
        <w:t>On-screen call to action:</w:t>
      </w:r>
      <w:r>
        <w:rPr>
          <w:rFonts w:ascii="Aptos" w:hAnsi="Aptos"/>
          <w:b w:val="0"/>
          <w:i w:val="0"/>
          <w:color w:val="2F292B"/>
          <w:sz w:val="21"/>
        </w:rPr>
        <w:t xml:space="preserve"> Use the Professional Calling Workbook to map what you carry.</w:t>
      </w:r>
    </w:p>
    <w:p>
      <w:pPr>
        <w:pStyle w:val="Heading2"/>
      </w:pPr>
      <w:r>
        <w:t>Video 7 | 3 minutes</w:t>
      </w:r>
    </w:p>
    <w:p>
      <w:r>
        <w:rPr>
          <w:rFonts w:ascii="Aptos" w:hAnsi="Aptos"/>
          <w:b w:val="0"/>
          <w:i/>
          <w:color w:val="2F292B"/>
          <w:sz w:val="21"/>
        </w:rPr>
        <w:t>Transition can be a place of formation</w:t>
      </w:r>
    </w:p>
    <w:p>
      <w:r>
        <w:rPr>
          <w:rFonts w:ascii="Aptos" w:hAnsi="Aptos"/>
          <w:b/>
          <w:i w:val="0"/>
          <w:color w:val="2F292B"/>
          <w:sz w:val="21"/>
        </w:rPr>
        <w:t>Visual direction:</w:t>
      </w:r>
      <w:r>
        <w:rPr>
          <w:rFonts w:ascii="Aptos" w:hAnsi="Aptos"/>
          <w:b w:val="0"/>
          <w:i w:val="0"/>
          <w:color w:val="2F292B"/>
          <w:sz w:val="21"/>
        </w:rPr>
        <w:t xml:space="preserve"> Direct-to-camera near a doorway or path; wordless setting</w:t>
      </w:r>
    </w:p>
    <w:p>
      <w:r>
        <w:rPr>
          <w:rFonts w:ascii="Aptos" w:hAnsi="Aptos"/>
          <w:b w:val="0"/>
          <w:i w:val="0"/>
          <w:color w:val="2F292B"/>
          <w:sz w:val="21"/>
        </w:rPr>
        <w:t>Transitions can feel like interruption, delay, loss, expansion, or all four at once. A role ends. A new responsibility appears. A familiar identity becomes too small. A desire returns. A season of training begins to reveal the work it was preparing us to do. In transition, the story can feel unfinished because it is still being interpreted. This pathway invites you to slow the interpretation. Name the facts. Name the feelings. Name the hopes and fears. Notice the patterns. Bring Scripture, evidence, wise counsel, time, and fruit into the process. Then choose one proportionate response. Formation often becomes visible in retrospect, yet faithful movement happens in the present. You may not have the whole map. You can still take the next honest step.</w:t>
      </w:r>
    </w:p>
    <w:p>
      <w:r>
        <w:rPr>
          <w:rFonts w:ascii="Aptos" w:hAnsi="Aptos"/>
          <w:b/>
          <w:i w:val="0"/>
          <w:color w:val="2F292B"/>
          <w:sz w:val="21"/>
        </w:rPr>
        <w:t>On-screen call to action:</w:t>
      </w:r>
      <w:r>
        <w:rPr>
          <w:rFonts w:ascii="Aptos" w:hAnsi="Aptos"/>
          <w:b w:val="0"/>
          <w:i w:val="0"/>
          <w:color w:val="2F292B"/>
          <w:sz w:val="21"/>
        </w:rPr>
        <w:t xml:space="preserve"> Begin the 30-Day Professional Calling Rhythm.</w:t>
      </w:r>
    </w:p>
    <w:p>
      <w:pPr>
        <w:pStyle w:val="Heading2"/>
      </w:pPr>
      <w:r>
        <w:t>Video 8 | 2 minutes</w:t>
      </w:r>
    </w:p>
    <w:p>
      <w:r>
        <w:rPr>
          <w:rFonts w:ascii="Aptos" w:hAnsi="Aptos"/>
          <w:b w:val="0"/>
          <w:i/>
          <w:color w:val="2F292B"/>
          <w:sz w:val="21"/>
        </w:rPr>
        <w:t>Choose digital, audio, or print</w:t>
      </w:r>
    </w:p>
    <w:p>
      <w:r>
        <w:rPr>
          <w:rFonts w:ascii="Aptos" w:hAnsi="Aptos"/>
          <w:b/>
          <w:i w:val="0"/>
          <w:color w:val="2F292B"/>
          <w:sz w:val="21"/>
        </w:rPr>
        <w:t>Visual direction:</w:t>
      </w:r>
      <w:r>
        <w:rPr>
          <w:rFonts w:ascii="Aptos" w:hAnsi="Aptos"/>
          <w:b w:val="0"/>
          <w:i w:val="0"/>
          <w:color w:val="2F292B"/>
          <w:sz w:val="21"/>
        </w:rPr>
        <w:t xml:space="preserve"> Demonstration using devices and a physical book; show interfaces without legible private text</w:t>
      </w:r>
    </w:p>
    <w:p>
      <w:r>
        <w:rPr>
          <w:rFonts w:ascii="Aptos" w:hAnsi="Aptos"/>
          <w:b w:val="0"/>
          <w:i w:val="0"/>
          <w:color w:val="2F292B"/>
          <w:sz w:val="21"/>
        </w:rPr>
        <w:t>Choose the format that serves the life you are living. Digital reading offers immediate access, adjustable type, search, bookmarks, and private notes. Audio lets the book travel with you during a walk, commute, rest period, or screen-free hour. Print creates tactile presence for annotation, gifting, retreat, and conversation around a shared book. Many readers use more than one. You might listen first, return digitally to search a phrase, and keep a premium print edition for deeper reflection. Format is part of the reading design. Let it reduce friction and support return.</w:t>
      </w:r>
    </w:p>
    <w:p>
      <w:r>
        <w:rPr>
          <w:rFonts w:ascii="Aptos" w:hAnsi="Aptos"/>
          <w:b/>
          <w:i w:val="0"/>
          <w:color w:val="2F292B"/>
          <w:sz w:val="21"/>
        </w:rPr>
        <w:t>On-screen call to action:</w:t>
      </w:r>
      <w:r>
        <w:rPr>
          <w:rFonts w:ascii="Aptos" w:hAnsi="Aptos"/>
          <w:b w:val="0"/>
          <w:i w:val="0"/>
          <w:color w:val="2F292B"/>
          <w:sz w:val="21"/>
        </w:rPr>
        <w:t xml:space="preserve"> Visit Choose Your Reading Format and save your present preference.</w:t>
      </w:r>
    </w:p>
    <w:p>
      <w:pPr>
        <w:pStyle w:val="Heading2"/>
      </w:pPr>
      <w:r>
        <w:t>Video 9 | 3 minutes</w:t>
      </w:r>
    </w:p>
    <w:p>
      <w:r>
        <w:rPr>
          <w:rFonts w:ascii="Aptos" w:hAnsi="Aptos"/>
          <w:b w:val="0"/>
          <w:i/>
          <w:color w:val="2F292B"/>
          <w:sz w:val="21"/>
        </w:rPr>
        <w:t>An invitation to a professional circle</w:t>
      </w:r>
    </w:p>
    <w:p>
      <w:r>
        <w:rPr>
          <w:rFonts w:ascii="Aptos" w:hAnsi="Aptos"/>
          <w:b/>
          <w:i w:val="0"/>
          <w:color w:val="2F292B"/>
          <w:sz w:val="21"/>
        </w:rPr>
        <w:t>Visual direction:</w:t>
      </w:r>
      <w:r>
        <w:rPr>
          <w:rFonts w:ascii="Aptos" w:hAnsi="Aptos"/>
          <w:b w:val="0"/>
          <w:i w:val="0"/>
          <w:color w:val="2F292B"/>
          <w:sz w:val="21"/>
        </w:rPr>
        <w:t xml:space="preserve"> Landscape; speak to camera as though welcoming a small group</w:t>
      </w:r>
    </w:p>
    <w:p>
      <w:r>
        <w:rPr>
          <w:rFonts w:ascii="Aptos" w:hAnsi="Aptos"/>
          <w:b w:val="0"/>
          <w:i w:val="0"/>
          <w:color w:val="2F292B"/>
          <w:sz w:val="21"/>
        </w:rPr>
        <w:t>A professional circle is a protected place for reflective learning among people who understand the responsibilities of the work. A healthcare circle may include physicians, scientists, clinicians, researchers, trainees, educators, administrators, and innovators. The conversation can hold calling, leadership, service, burnout, identity, transition, and ethical responsibility. It also requires clear boundaries. Patient information and confidential workplace details remain outside the room. Educational reflection remains distinct from individualized medical care. Spiritual discernment is carried with humility and freedom from coercion. Each gathering follows a simple rhythm: arrive, read or listen, reflect privately, converse generously, discern patiently, and choose one practical response.</w:t>
      </w:r>
    </w:p>
    <w:p>
      <w:r>
        <w:rPr>
          <w:rFonts w:ascii="Aptos" w:hAnsi="Aptos"/>
          <w:b/>
          <w:i w:val="0"/>
          <w:color w:val="2F292B"/>
          <w:sz w:val="21"/>
        </w:rPr>
        <w:t>On-screen call to action:</w:t>
      </w:r>
      <w:r>
        <w:rPr>
          <w:rFonts w:ascii="Aptos" w:hAnsi="Aptos"/>
          <w:b w:val="0"/>
          <w:i w:val="0"/>
          <w:color w:val="2F292B"/>
          <w:sz w:val="21"/>
        </w:rPr>
        <w:t xml:space="preserve"> Explore the Professional Circle and organization pathway.</w:t>
      </w:r>
    </w:p>
    <w:p>
      <w:pPr>
        <w:pStyle w:val="Heading2"/>
      </w:pPr>
      <w:r>
        <w:t>Video 10 | 60 seconds</w:t>
      </w:r>
    </w:p>
    <w:p>
      <w:r>
        <w:rPr>
          <w:rFonts w:ascii="Aptos" w:hAnsi="Aptos"/>
          <w:b w:val="0"/>
          <w:i/>
          <w:color w:val="2F292B"/>
          <w:sz w:val="21"/>
        </w:rPr>
        <w:t>The next faithful step</w:t>
      </w:r>
    </w:p>
    <w:p>
      <w:r>
        <w:rPr>
          <w:rFonts w:ascii="Aptos" w:hAnsi="Aptos"/>
          <w:b/>
          <w:i w:val="0"/>
          <w:color w:val="2F292B"/>
          <w:sz w:val="21"/>
        </w:rPr>
        <w:t>Visual direction:</w:t>
      </w:r>
      <w:r>
        <w:rPr>
          <w:rFonts w:ascii="Aptos" w:hAnsi="Aptos"/>
          <w:b w:val="0"/>
          <w:i w:val="0"/>
          <w:color w:val="2F292B"/>
          <w:sz w:val="21"/>
        </w:rPr>
        <w:t xml:space="preserve"> Vertical short; quiet direct-to-camera close</w:t>
      </w:r>
    </w:p>
    <w:p>
      <w:r>
        <w:rPr>
          <w:rFonts w:ascii="Aptos" w:hAnsi="Aptos"/>
          <w:b w:val="0"/>
          <w:i w:val="0"/>
          <w:color w:val="2F292B"/>
          <w:sz w:val="21"/>
        </w:rPr>
        <w:t>Clarity rarely requires you to solve the whole future today. It may ask for one conversation, one boundary, one application, one hour of study, one act of service, one request for counsel, or one honest sentence in a journal. Let the next step be faithful, proportionate, and possible. Then allow its fruit to teach you.</w:t>
      </w:r>
    </w:p>
    <w:p>
      <w:r>
        <w:rPr>
          <w:rFonts w:ascii="Aptos" w:hAnsi="Aptos"/>
          <w:b/>
          <w:i w:val="0"/>
          <w:color w:val="2F292B"/>
          <w:sz w:val="21"/>
        </w:rPr>
        <w:t>On-screen call to action:</w:t>
      </w:r>
      <w:r>
        <w:rPr>
          <w:rFonts w:ascii="Aptos" w:hAnsi="Aptos"/>
          <w:b w:val="0"/>
          <w:i w:val="0"/>
          <w:color w:val="2F292B"/>
          <w:sz w:val="21"/>
        </w:rPr>
        <w:t xml:space="preserve"> Choose one response and record it in your 30-day plan.</w:t>
      </w:r>
    </w:p>
    <w:p>
      <w:pPr>
        <w:pStyle w:val="Heading2"/>
      </w:pPr>
      <w:r>
        <w:t>Video 11 | 2 minutes</w:t>
      </w:r>
    </w:p>
    <w:p>
      <w:r>
        <w:rPr>
          <w:rFonts w:ascii="Aptos" w:hAnsi="Aptos"/>
          <w:b w:val="0"/>
          <w:i/>
          <w:color w:val="2F292B"/>
          <w:sz w:val="21"/>
        </w:rPr>
        <w:t>For organizations and leaders</w:t>
      </w:r>
    </w:p>
    <w:p>
      <w:r>
        <w:rPr>
          <w:rFonts w:ascii="Aptos" w:hAnsi="Aptos"/>
          <w:b/>
          <w:i w:val="0"/>
          <w:color w:val="2F292B"/>
          <w:sz w:val="21"/>
        </w:rPr>
        <w:t>Visual direction:</w:t>
      </w:r>
      <w:r>
        <w:rPr>
          <w:rFonts w:ascii="Aptos" w:hAnsi="Aptos"/>
          <w:b w:val="0"/>
          <w:i w:val="0"/>
          <w:color w:val="2F292B"/>
          <w:sz w:val="21"/>
        </w:rPr>
        <w:t xml:space="preserve"> Landscape; formal professional setting</w:t>
      </w:r>
    </w:p>
    <w:p>
      <w:r>
        <w:rPr>
          <w:rFonts w:ascii="Aptos" w:hAnsi="Aptos"/>
          <w:b w:val="0"/>
          <w:i w:val="0"/>
          <w:color w:val="2F292B"/>
          <w:sz w:val="21"/>
        </w:rPr>
        <w:t>Organizations shape the environments in which people become. A book-centered professional circle can support reflection, mentorship, leadership development, ethical dialogue, transition, and community without turning the workplace into a place of compelled disclosure. The organization pathway includes digital and audio access, a facilitator guide, privacy and participation safeguards, discussion plans, leader preparation, and a clear distinction among education, professional development, clinical care, coaching, and ministry. Programs can be adapted for healthcare teams, research groups, academic communities, churches, ministries, professional associations, and leadership cohorts.</w:t>
      </w:r>
    </w:p>
    <w:p>
      <w:r>
        <w:rPr>
          <w:rFonts w:ascii="Aptos" w:hAnsi="Aptos"/>
          <w:b/>
          <w:i w:val="0"/>
          <w:color w:val="2F292B"/>
          <w:sz w:val="21"/>
        </w:rPr>
        <w:t>On-screen call to action:</w:t>
      </w:r>
      <w:r>
        <w:rPr>
          <w:rFonts w:ascii="Aptos" w:hAnsi="Aptos"/>
          <w:b w:val="0"/>
          <w:i w:val="0"/>
          <w:color w:val="2F292B"/>
          <w:sz w:val="21"/>
        </w:rPr>
        <w:t xml:space="preserve"> Request a private reading room or organization proposal.</w:t>
      </w:r>
    </w:p>
    <w:p>
      <w:pPr>
        <w:pStyle w:val="Heading2"/>
      </w:pPr>
      <w:r>
        <w:t>Video 12 | 5 minutes</w:t>
      </w:r>
    </w:p>
    <w:p>
      <w:r>
        <w:rPr>
          <w:rFonts w:ascii="Aptos" w:hAnsi="Aptos"/>
          <w:b w:val="0"/>
          <w:i/>
          <w:color w:val="2F292B"/>
          <w:sz w:val="21"/>
        </w:rPr>
        <w:t>The founding invitation</w:t>
      </w:r>
    </w:p>
    <w:p>
      <w:r>
        <w:rPr>
          <w:rFonts w:ascii="Aptos" w:hAnsi="Aptos"/>
          <w:b/>
          <w:i w:val="0"/>
          <w:color w:val="2F292B"/>
          <w:sz w:val="21"/>
        </w:rPr>
        <w:t>Visual direction:</w:t>
      </w:r>
      <w:r>
        <w:rPr>
          <w:rFonts w:ascii="Aptos" w:hAnsi="Aptos"/>
          <w:b w:val="0"/>
          <w:i w:val="0"/>
          <w:color w:val="2F292B"/>
          <w:sz w:val="21"/>
        </w:rPr>
        <w:t xml:space="preserve"> Landscape anchor video; direct-to-camera; warm, dignified, cinematic</w:t>
      </w:r>
    </w:p>
    <w:p>
      <w:r>
        <w:rPr>
          <w:rFonts w:ascii="Aptos" w:hAnsi="Aptos"/>
          <w:b w:val="0"/>
          <w:i w:val="0"/>
          <w:color w:val="2F292B"/>
          <w:sz w:val="21"/>
        </w:rPr>
        <w:t>I created this pathway for the woman whose life contains more preparation than one title can explain. She may be a physician, scientist, clinician, researcher, educator, founder, leader, or woman standing at the threshold of a new assignment. She has learned how to be capable. She may still be asking how the pieces belong together. My own life has moved through medicine, science, research, education, innovation, entrepreneurship, faith, mission, loss, prophetic formation, and an expanding understanding of calling. I have learned to value both evidence and discernment, both preparation and unfolding, both intellectual precision and the quiet ways meaning gathers over time. The Professional Calling Reading Pathway brings these streams into a coherent experience. You can read a complete digital book, listen in my voice, open a companion workbook, enter a guided reflection circle, or gather a professional community around a shared question. You will move through recognition, reflection, discernment, and response. The work will honor Scripture, context, privacy, professional boundaries, wise counsel, and the freedom to let understanding mature. This pathway begins with Christian women in healthcare and science because I know that world from within. It opens outward toward faith-driven women across professions and spiritually curious high achievers who are seeking a life of greater coherence and purpose. You do not need to perform certainty here. You can bring the question you actually have. You can notice what stays with you. You can test meaning carefully. You can take one faithful step. The books are ready to meet you on the page, through your headphones, in a circle, and within the living questions of your own life.</w:t>
      </w:r>
    </w:p>
    <w:p>
      <w:r>
        <w:rPr>
          <w:rFonts w:ascii="Aptos" w:hAnsi="Aptos"/>
          <w:b/>
          <w:i w:val="0"/>
          <w:color w:val="2F292B"/>
          <w:sz w:val="21"/>
        </w:rPr>
        <w:t>On-screen call to action:</w:t>
      </w:r>
      <w:r>
        <w:rPr>
          <w:rFonts w:ascii="Aptos" w:hAnsi="Aptos"/>
          <w:b w:val="0"/>
          <w:i w:val="0"/>
          <w:color w:val="2F292B"/>
          <w:sz w:val="21"/>
        </w:rPr>
        <w:t xml:space="preserve"> Enter the pathway and choose the first book that meets your season.</w:t>
      </w:r>
    </w:p>
    <w:p>
      <w:r>
        <w:br w:type="page"/>
      </w:r>
    </w:p>
    <w:p>
      <w:pPr>
        <w:pStyle w:val="Heading1"/>
      </w:pPr>
      <w:r>
        <w:t>8. Launch messages and 90-day sequence</w:t>
      </w:r>
    </w:p>
    <w:p>
      <w:pPr>
        <w:pStyle w:val="Heading2"/>
      </w:pPr>
      <w:r>
        <w:t>Primary launch message</w:t>
      </w:r>
    </w:p>
    <w:tbl>
      <w:tblPr>
        <w:tblW w:type="dxa" w:w="9360"/>
        <w:jc w:val="center"/>
        <w:tblLayout w:type="fixed"/>
        <w:tblLook w:firstColumn="1" w:firstRow="1" w:lastColumn="0" w:lastRow="0" w:noHBand="0" w:noVBand="1" w:val="04A0"/>
        <w:tblInd w:w="140" w:type="dxa"/>
      </w:tblPr>
      <w:tblGrid>
        <w:gridCol w:w="9360"/>
      </w:tblGrid>
      <w:tr>
        <w:tc>
          <w:tcPr>
            <w:tcW w:type="dxa" w:w="9360"/>
            <w:tcMar>
              <w:top w:w="100" w:type="dxa"/>
              <w:start w:w="140" w:type="dxa"/>
              <w:bottom w:w="100" w:type="dxa"/>
              <w:end w:w="140" w:type="dxa"/>
            </w:tcMar>
            <w:shd w:fill="F5E4E4"/>
          </w:tcPr>
          <w:p>
            <w:r>
              <w:rPr>
                <w:rFonts w:ascii="Aptos" w:hAnsi="Aptos"/>
                <w:b/>
                <w:i w:val="0"/>
                <w:color w:val="B78B3F"/>
                <w:sz w:val="18"/>
              </w:rPr>
              <w:t xml:space="preserve">LAUNCH COPY  </w:t>
            </w:r>
            <w:r>
              <w:rPr>
                <w:rFonts w:ascii="Georgia" w:hAnsi="Georgia"/>
                <w:b w:val="0"/>
                <w:i/>
                <w:color w:val="32181F"/>
                <w:sz w:val="22"/>
              </w:rPr>
              <w:t>A new reading and listening pathway for faith-driven women carrying consequential work. Bring professional preparation, spiritual formation, and lived experience into one honest conversation. Read digitally, listen in Dr. Brown’s voice, reflect privately, and move toward one faithful response.</w:t>
            </w:r>
          </w:p>
        </w:tc>
      </w:tr>
    </w:tbl>
    <w:p/>
    <w:p>
      <w:pPr>
        <w:pStyle w:val="Heading2"/>
      </w:pPr>
      <w:r>
        <w:t>Email or member announcement</w:t>
      </w:r>
    </w:p>
    <w:p>
      <w:r>
        <w:rPr>
          <w:rFonts w:ascii="Aptos" w:hAnsi="Aptos"/>
          <w:b w:val="0"/>
          <w:i w:val="0"/>
          <w:color w:val="2F292B"/>
          <w:sz w:val="21"/>
        </w:rPr>
        <w:t>Subject: A new pathway for the work your life has prepared you to carry</w:t>
      </w:r>
    </w:p>
    <w:p>
      <w:r>
        <w:rPr>
          <w:rFonts w:ascii="Aptos" w:hAnsi="Aptos"/>
          <w:b w:val="0"/>
          <w:i w:val="0"/>
          <w:color w:val="2F292B"/>
          <w:sz w:val="21"/>
        </w:rPr>
        <w:t>There are seasons when a professional question becomes a calling question. The Professional Calling Reading Pathway now gathers digital books, human-voiced audio, Scripture-shaped reflection, a 30-day workbook, and guided professional circles for women in healthcare, science, research, education, leadership, and transition. Begin with the question already living in your life. Choose the format that serves your present rhythm, then move through recognition, reflection, discernment, and response.</w:t>
      </w:r>
    </w:p>
    <w:p>
      <w:pPr>
        <w:pStyle w:val="Heading2"/>
      </w:pPr>
      <w:r>
        <w:t>Social post</w:t>
      </w:r>
    </w:p>
    <w:p>
      <w:r>
        <w:rPr>
          <w:rFonts w:ascii="Aptos" w:hAnsi="Aptos"/>
          <w:b w:val="0"/>
          <w:i w:val="0"/>
          <w:color w:val="2F292B"/>
          <w:sz w:val="21"/>
        </w:rPr>
        <w:t>Your credentials describe preparation. Your life may be revealing a wider calling. The Professional Calling Reading Pathway brings digital books, human-voiced audio, private reflection, and thoughtful community together for faith-driven women carrying consequential work. Begin where your present question is already alive.</w:t>
      </w:r>
    </w:p>
    <w:p>
      <w:r>
        <w:br w:type="page"/>
      </w:r>
    </w:p>
    <w:p>
      <w:pPr>
        <w:pStyle w:val="Heading2"/>
      </w:pPr>
      <w:r>
        <w:t>90-day release sequence</w:t>
      </w:r>
    </w:p>
    <w:tbl>
      <w:tblPr>
        <w:tblStyle w:val="TableGrid"/>
        <w:tblW w:type="dxa" w:w="9360"/>
        <w:jc w:val="center"/>
        <w:tblLayout w:type="fixed"/>
        <w:tblLook w:firstColumn="1" w:firstRow="1" w:lastColumn="0" w:lastRow="0" w:noHBand="0" w:noVBand="1" w:val="04A0"/>
        <w:tblInd w:w="140" w:type="dxa"/>
      </w:tblPr>
      <w:tblGrid>
        <w:gridCol w:w="1520"/>
        <w:gridCol w:w="2590"/>
        <w:gridCol w:w="3370"/>
        <w:gridCol w:w="1880"/>
      </w:tblGrid>
      <w:tr>
        <w:trPr>
          <w:tblHeader w:val="true"/>
        </w:trPr>
        <w:tc>
          <w:tcPr>
            <w:tcW w:type="dxa" w:w="1520"/>
            <w:tcMar>
              <w:top w:w="100" w:type="dxa"/>
              <w:start w:w="140" w:type="dxa"/>
              <w:bottom w:w="100" w:type="dxa"/>
              <w:end w:w="140" w:type="dxa"/>
            </w:tcMar>
            <w:shd w:fill="762631"/>
            <w:vAlign w:val="center"/>
          </w:tcPr>
          <w:p>
            <w:r>
              <w:rPr>
                <w:rFonts w:ascii="Aptos" w:hAnsi="Aptos"/>
                <w:b/>
                <w:i w:val="0"/>
                <w:color w:val="FFFFFF"/>
                <w:sz w:val="18"/>
              </w:rPr>
              <w:t>Period</w:t>
            </w:r>
          </w:p>
        </w:tc>
        <w:tc>
          <w:tcPr>
            <w:tcW w:type="dxa" w:w="2590"/>
            <w:tcMar>
              <w:top w:w="100" w:type="dxa"/>
              <w:start w:w="140" w:type="dxa"/>
              <w:bottom w:w="100" w:type="dxa"/>
              <w:end w:w="140" w:type="dxa"/>
            </w:tcMar>
            <w:shd w:fill="762631"/>
            <w:vAlign w:val="center"/>
          </w:tcPr>
          <w:p>
            <w:r>
              <w:rPr>
                <w:rFonts w:ascii="Aptos" w:hAnsi="Aptos"/>
                <w:b/>
                <w:i w:val="0"/>
                <w:color w:val="FFFFFF"/>
                <w:sz w:val="18"/>
              </w:rPr>
              <w:t>Primary release</w:t>
            </w:r>
          </w:p>
        </w:tc>
        <w:tc>
          <w:tcPr>
            <w:tcW w:type="dxa" w:w="3370"/>
            <w:tcMar>
              <w:top w:w="100" w:type="dxa"/>
              <w:start w:w="140" w:type="dxa"/>
              <w:bottom w:w="100" w:type="dxa"/>
              <w:end w:w="140" w:type="dxa"/>
            </w:tcMar>
            <w:shd w:fill="762631"/>
            <w:vAlign w:val="center"/>
          </w:tcPr>
          <w:p>
            <w:r>
              <w:rPr>
                <w:rFonts w:ascii="Aptos" w:hAnsi="Aptos"/>
                <w:b/>
                <w:i w:val="0"/>
                <w:color w:val="FFFFFF"/>
                <w:sz w:val="18"/>
              </w:rPr>
              <w:t>Supporting work</w:t>
            </w:r>
          </w:p>
        </w:tc>
        <w:tc>
          <w:tcPr>
            <w:tcW w:type="dxa" w:w="1880"/>
            <w:tcMar>
              <w:top w:w="100" w:type="dxa"/>
              <w:start w:w="140" w:type="dxa"/>
              <w:bottom w:w="100" w:type="dxa"/>
              <w:end w:w="140" w:type="dxa"/>
            </w:tcMar>
            <w:shd w:fill="762631"/>
            <w:vAlign w:val="center"/>
          </w:tcPr>
          <w:p>
            <w:r>
              <w:rPr>
                <w:rFonts w:ascii="Aptos" w:hAnsi="Aptos"/>
                <w:b/>
                <w:i w:val="0"/>
                <w:color w:val="FFFFFF"/>
                <w:sz w:val="18"/>
              </w:rPr>
              <w:t>Completion evidence</w:t>
            </w:r>
          </w:p>
        </w:tc>
      </w:tr>
      <w:tr>
        <w:tc>
          <w:tcPr>
            <w:tcW w:type="dxa" w:w="1520"/>
            <w:vAlign w:val="center"/>
            <w:tcMar>
              <w:top w:w="100" w:type="dxa"/>
              <w:start w:w="140" w:type="dxa"/>
              <w:bottom w:w="100" w:type="dxa"/>
              <w:end w:w="140" w:type="dxa"/>
            </w:tcMar>
          </w:tcPr>
          <w:p>
            <w:r>
              <w:rPr>
                <w:rFonts w:ascii="Aptos" w:hAnsi="Aptos"/>
                <w:b w:val="0"/>
                <w:i w:val="0"/>
                <w:color w:val="2F292B"/>
                <w:sz w:val="18"/>
              </w:rPr>
              <w:t>Days 1–15</w:t>
            </w:r>
          </w:p>
        </w:tc>
        <w:tc>
          <w:tcPr>
            <w:tcW w:type="dxa" w:w="2590"/>
            <w:vAlign w:val="center"/>
            <w:tcMar>
              <w:top w:w="100" w:type="dxa"/>
              <w:start w:w="140" w:type="dxa"/>
              <w:bottom w:w="100" w:type="dxa"/>
              <w:end w:w="140" w:type="dxa"/>
            </w:tcMar>
          </w:tcPr>
          <w:p>
            <w:r>
              <w:rPr>
                <w:rFonts w:ascii="Aptos" w:hAnsi="Aptos"/>
                <w:b w:val="0"/>
                <w:i w:val="0"/>
                <w:color w:val="2F292B"/>
                <w:sz w:val="18"/>
              </w:rPr>
              <w:t>Professional Calling pathway and founding invitation video</w:t>
            </w:r>
          </w:p>
        </w:tc>
        <w:tc>
          <w:tcPr>
            <w:tcW w:type="dxa" w:w="3370"/>
            <w:vAlign w:val="center"/>
            <w:tcMar>
              <w:top w:w="100" w:type="dxa"/>
              <w:start w:w="140" w:type="dxa"/>
              <w:bottom w:w="100" w:type="dxa"/>
              <w:end w:w="140" w:type="dxa"/>
            </w:tcMar>
          </w:tcPr>
          <w:p>
            <w:r>
              <w:rPr>
                <w:rFonts w:ascii="Aptos" w:hAnsi="Aptos"/>
                <w:b w:val="0"/>
                <w:i w:val="0"/>
                <w:color w:val="2F292B"/>
                <w:sz w:val="18"/>
              </w:rPr>
              <w:t>Reader Welcome Guide, format selector, analytics events, legal and privacy review</w:t>
            </w:r>
          </w:p>
        </w:tc>
        <w:tc>
          <w:tcPr>
            <w:tcW w:type="dxa" w:w="1880"/>
            <w:vAlign w:val="center"/>
            <w:tcMar>
              <w:top w:w="100" w:type="dxa"/>
              <w:start w:w="140" w:type="dxa"/>
              <w:bottom w:w="100" w:type="dxa"/>
              <w:end w:w="140" w:type="dxa"/>
            </w:tcMar>
          </w:tcPr>
          <w:p>
            <w:r>
              <w:rPr>
                <w:rFonts w:ascii="Aptos" w:hAnsi="Aptos"/>
                <w:b w:val="0"/>
                <w:i w:val="0"/>
                <w:color w:val="2F292B"/>
                <w:sz w:val="18"/>
              </w:rPr>
              <w:t>Published route, tested links, baseline metrics</w:t>
            </w:r>
          </w:p>
        </w:tc>
      </w:tr>
      <w:tr>
        <w:tc>
          <w:tcPr>
            <w:tcW w:type="dxa" w:w="1520"/>
            <w:vAlign w:val="center"/>
            <w:tcMar>
              <w:top w:w="100" w:type="dxa"/>
              <w:start w:w="140" w:type="dxa"/>
              <w:bottom w:w="100" w:type="dxa"/>
              <w:end w:w="140" w:type="dxa"/>
            </w:tcMar>
          </w:tcPr>
          <w:p>
            <w:r>
              <w:rPr>
                <w:rFonts w:ascii="Aptos" w:hAnsi="Aptos"/>
                <w:b w:val="0"/>
                <w:i w:val="0"/>
                <w:color w:val="2F292B"/>
                <w:sz w:val="18"/>
              </w:rPr>
              <w:t>Days 16–30</w:t>
            </w:r>
          </w:p>
        </w:tc>
        <w:tc>
          <w:tcPr>
            <w:tcW w:type="dxa" w:w="2590"/>
            <w:vAlign w:val="center"/>
            <w:tcMar>
              <w:top w:w="100" w:type="dxa"/>
              <w:start w:w="140" w:type="dxa"/>
              <w:bottom w:w="100" w:type="dxa"/>
              <w:end w:w="140" w:type="dxa"/>
            </w:tcMar>
          </w:tcPr>
          <w:p>
            <w:r>
              <w:rPr>
                <w:rFonts w:ascii="Aptos" w:hAnsi="Aptos"/>
                <w:b w:val="0"/>
                <w:i w:val="0"/>
                <w:color w:val="2F292B"/>
                <w:sz w:val="18"/>
              </w:rPr>
              <w:t>First narrated chapter and Audio Reflection Companion</w:t>
            </w:r>
          </w:p>
        </w:tc>
        <w:tc>
          <w:tcPr>
            <w:tcW w:type="dxa" w:w="3370"/>
            <w:vAlign w:val="center"/>
            <w:tcMar>
              <w:top w:w="100" w:type="dxa"/>
              <w:start w:w="140" w:type="dxa"/>
              <w:bottom w:w="100" w:type="dxa"/>
              <w:end w:w="140" w:type="dxa"/>
            </w:tcMar>
          </w:tcPr>
          <w:p>
            <w:r>
              <w:rPr>
                <w:rFonts w:ascii="Aptos" w:hAnsi="Aptos"/>
                <w:b w:val="0"/>
                <w:i w:val="0"/>
                <w:color w:val="2F292B"/>
                <w:sz w:val="18"/>
              </w:rPr>
              <w:t>Recording workflow, transcript, captions, quality review</w:t>
            </w:r>
          </w:p>
        </w:tc>
        <w:tc>
          <w:tcPr>
            <w:tcW w:type="dxa" w:w="1880"/>
            <w:vAlign w:val="center"/>
            <w:tcMar>
              <w:top w:w="100" w:type="dxa"/>
              <w:start w:w="140" w:type="dxa"/>
              <w:bottom w:w="100" w:type="dxa"/>
              <w:end w:w="140" w:type="dxa"/>
            </w:tcMar>
          </w:tcPr>
          <w:p>
            <w:r>
              <w:rPr>
                <w:rFonts w:ascii="Aptos" w:hAnsi="Aptos"/>
                <w:b w:val="0"/>
                <w:i w:val="0"/>
                <w:color w:val="2F292B"/>
                <w:sz w:val="18"/>
              </w:rPr>
              <w:t>Approved master, public sample, accessible transcript</w:t>
            </w:r>
          </w:p>
        </w:tc>
      </w:tr>
      <w:tr>
        <w:tc>
          <w:tcPr>
            <w:tcW w:type="dxa" w:w="1520"/>
            <w:vAlign w:val="center"/>
            <w:tcMar>
              <w:top w:w="100" w:type="dxa"/>
              <w:start w:w="140" w:type="dxa"/>
              <w:bottom w:w="100" w:type="dxa"/>
              <w:end w:w="140" w:type="dxa"/>
            </w:tcMar>
          </w:tcPr>
          <w:p>
            <w:r>
              <w:rPr>
                <w:rFonts w:ascii="Aptos" w:hAnsi="Aptos"/>
                <w:b w:val="0"/>
                <w:i w:val="0"/>
                <w:color w:val="2F292B"/>
                <w:sz w:val="18"/>
              </w:rPr>
              <w:t>Days 31–60</w:t>
            </w:r>
          </w:p>
        </w:tc>
        <w:tc>
          <w:tcPr>
            <w:tcW w:type="dxa" w:w="2590"/>
            <w:vAlign w:val="center"/>
            <w:tcMar>
              <w:top w:w="100" w:type="dxa"/>
              <w:start w:w="140" w:type="dxa"/>
              <w:bottom w:w="100" w:type="dxa"/>
              <w:end w:w="140" w:type="dxa"/>
            </w:tcMar>
          </w:tcPr>
          <w:p>
            <w:r>
              <w:rPr>
                <w:rFonts w:ascii="Aptos" w:hAnsi="Aptos"/>
                <w:b w:val="0"/>
                <w:i w:val="0"/>
                <w:color w:val="2F292B"/>
                <w:sz w:val="18"/>
              </w:rPr>
              <w:t>30-Day Professional Calling Rhythm</w:t>
            </w:r>
          </w:p>
        </w:tc>
        <w:tc>
          <w:tcPr>
            <w:tcW w:type="dxa" w:w="3370"/>
            <w:vAlign w:val="center"/>
            <w:tcMar>
              <w:top w:w="100" w:type="dxa"/>
              <w:start w:w="140" w:type="dxa"/>
              <w:bottom w:w="100" w:type="dxa"/>
              <w:end w:w="140" w:type="dxa"/>
            </w:tcMar>
          </w:tcPr>
          <w:p>
            <w:r>
              <w:rPr>
                <w:rFonts w:ascii="Aptos" w:hAnsi="Aptos"/>
                <w:b w:val="0"/>
                <w:i w:val="0"/>
                <w:color w:val="2F292B"/>
                <w:sz w:val="18"/>
              </w:rPr>
              <w:t>Four short videos, member prompts, email sequence</w:t>
            </w:r>
          </w:p>
        </w:tc>
        <w:tc>
          <w:tcPr>
            <w:tcW w:type="dxa" w:w="1880"/>
            <w:vAlign w:val="center"/>
            <w:tcMar>
              <w:top w:w="100" w:type="dxa"/>
              <w:start w:w="140" w:type="dxa"/>
              <w:bottom w:w="100" w:type="dxa"/>
              <w:end w:w="140" w:type="dxa"/>
            </w:tcMar>
          </w:tcPr>
          <w:p>
            <w:r>
              <w:rPr>
                <w:rFonts w:ascii="Aptos" w:hAnsi="Aptos"/>
                <w:b w:val="0"/>
                <w:i w:val="0"/>
                <w:color w:val="2F292B"/>
                <w:sz w:val="18"/>
              </w:rPr>
              <w:t>Workbook use, completion responses, qualitative feedback</w:t>
            </w:r>
          </w:p>
        </w:tc>
      </w:tr>
      <w:tr>
        <w:tc>
          <w:tcPr>
            <w:tcW w:type="dxa" w:w="1520"/>
            <w:vAlign w:val="center"/>
            <w:tcMar>
              <w:top w:w="100" w:type="dxa"/>
              <w:start w:w="140" w:type="dxa"/>
              <w:bottom w:w="100" w:type="dxa"/>
              <w:end w:w="140" w:type="dxa"/>
            </w:tcMar>
          </w:tcPr>
          <w:p>
            <w:r>
              <w:rPr>
                <w:rFonts w:ascii="Aptos" w:hAnsi="Aptos"/>
                <w:b w:val="0"/>
                <w:i w:val="0"/>
                <w:color w:val="2F292B"/>
                <w:sz w:val="18"/>
              </w:rPr>
              <w:t>Days 61–90</w:t>
            </w:r>
          </w:p>
        </w:tc>
        <w:tc>
          <w:tcPr>
            <w:tcW w:type="dxa" w:w="2590"/>
            <w:vAlign w:val="center"/>
            <w:tcMar>
              <w:top w:w="100" w:type="dxa"/>
              <w:start w:w="140" w:type="dxa"/>
              <w:bottom w:w="100" w:type="dxa"/>
              <w:end w:w="140" w:type="dxa"/>
            </w:tcMar>
          </w:tcPr>
          <w:p>
            <w:r>
              <w:rPr>
                <w:rFonts w:ascii="Aptos" w:hAnsi="Aptos"/>
                <w:b w:val="0"/>
                <w:i w:val="0"/>
                <w:color w:val="2F292B"/>
                <w:sz w:val="18"/>
              </w:rPr>
              <w:t>Professional Circle pilot</w:t>
            </w:r>
          </w:p>
        </w:tc>
        <w:tc>
          <w:tcPr>
            <w:tcW w:type="dxa" w:w="3370"/>
            <w:vAlign w:val="center"/>
            <w:tcMar>
              <w:top w:w="100" w:type="dxa"/>
              <w:start w:w="140" w:type="dxa"/>
              <w:bottom w:w="100" w:type="dxa"/>
              <w:end w:w="140" w:type="dxa"/>
            </w:tcMar>
          </w:tcPr>
          <w:p>
            <w:r>
              <w:rPr>
                <w:rFonts w:ascii="Aptos" w:hAnsi="Aptos"/>
                <w:b w:val="0"/>
                <w:i w:val="0"/>
                <w:color w:val="2F292B"/>
                <w:sz w:val="18"/>
              </w:rPr>
              <w:t>Facilitator guide, healthcare safeguards, organization proposal</w:t>
            </w:r>
          </w:p>
        </w:tc>
        <w:tc>
          <w:tcPr>
            <w:tcW w:type="dxa" w:w="1880"/>
            <w:vAlign w:val="center"/>
            <w:tcMar>
              <w:top w:w="100" w:type="dxa"/>
              <w:start w:w="140" w:type="dxa"/>
              <w:bottom w:w="100" w:type="dxa"/>
              <w:end w:w="140" w:type="dxa"/>
            </w:tcMar>
          </w:tcPr>
          <w:p>
            <w:r>
              <w:rPr>
                <w:rFonts w:ascii="Aptos" w:hAnsi="Aptos"/>
                <w:b w:val="0"/>
                <w:i w:val="0"/>
                <w:color w:val="2F292B"/>
                <w:sz w:val="18"/>
              </w:rPr>
              <w:t>Pilot attendance, facilitator notes, privacy review, improvement record</w:t>
            </w:r>
          </w:p>
        </w:tc>
      </w:tr>
    </w:tbl>
    <w:p/>
    <w:p>
      <w:pPr>
        <w:pStyle w:val="Heading1"/>
      </w:pPr>
      <w:r>
        <w:t>9. Measurement, privacy, and acceptance standards</w:t>
      </w:r>
    </w:p>
    <w:p>
      <w:pPr>
        <w:pStyle w:val="Heading2"/>
      </w:pPr>
      <w:r>
        <w:t>Measurement</w:t>
      </w:r>
    </w:p>
    <w:p>
      <w:pPr>
        <w:pStyle w:val="ListBullet"/>
      </w:pPr>
      <w:r>
        <w:rPr>
          <w:rFonts w:ascii="Aptos" w:hAnsi="Aptos"/>
          <w:b w:val="0"/>
          <w:i w:val="0"/>
          <w:color w:val="2F292B"/>
          <w:sz w:val="21"/>
        </w:rPr>
        <w:t>Pathway visits and referral Site.</w:t>
      </w:r>
    </w:p>
    <w:p>
      <w:pPr>
        <w:pStyle w:val="ListBullet"/>
      </w:pPr>
      <w:r>
        <w:rPr>
          <w:rFonts w:ascii="Aptos" w:hAnsi="Aptos"/>
          <w:b w:val="0"/>
          <w:i w:val="0"/>
          <w:color w:val="2F292B"/>
          <w:sz w:val="21"/>
        </w:rPr>
        <w:t>Book opens, chapter completion where supported, audio starts, 25/50/75/100 percent listening, and resource opens.</w:t>
      </w:r>
    </w:p>
    <w:p>
      <w:pPr>
        <w:pStyle w:val="ListBullet"/>
      </w:pPr>
      <w:r>
        <w:rPr>
          <w:rFonts w:ascii="Aptos" w:hAnsi="Aptos"/>
          <w:b w:val="0"/>
          <w:i w:val="0"/>
          <w:color w:val="2F292B"/>
          <w:sz w:val="21"/>
        </w:rPr>
        <w:t>Saved format preference, member-portal entry, circle inquiry, and organization inquiry.</w:t>
      </w:r>
    </w:p>
    <w:p>
      <w:pPr>
        <w:pStyle w:val="ListBullet"/>
      </w:pPr>
      <w:r>
        <w:rPr>
          <w:rFonts w:ascii="Aptos" w:hAnsi="Aptos"/>
          <w:b w:val="0"/>
          <w:i w:val="0"/>
          <w:color w:val="2F292B"/>
          <w:sz w:val="21"/>
        </w:rPr>
        <w:t>Return visits at 7, 30, and 90 days where consented and technically supported.</w:t>
      </w:r>
    </w:p>
    <w:p>
      <w:pPr>
        <w:pStyle w:val="ListBullet"/>
      </w:pPr>
      <w:r>
        <w:rPr>
          <w:rFonts w:ascii="Aptos" w:hAnsi="Aptos"/>
          <w:b w:val="0"/>
          <w:i w:val="0"/>
          <w:color w:val="2F292B"/>
          <w:sz w:val="21"/>
        </w:rPr>
        <w:t>Qualitative outcomes: clearer language, recognized pattern, tested interpretation, chosen response, and perceived support.</w:t>
      </w:r>
    </w:p>
    <w:p>
      <w:pPr>
        <w:pStyle w:val="ListBullet"/>
      </w:pPr>
      <w:r>
        <w:rPr>
          <w:rFonts w:ascii="Aptos" w:hAnsi="Aptos"/>
          <w:b w:val="0"/>
          <w:i w:val="0"/>
          <w:color w:val="2F292B"/>
          <w:sz w:val="21"/>
        </w:rPr>
        <w:t>Disaggregate responsibly by pathway and voluntary audience information; avoid unsupported claims of effectiveness or psychometric validity.</w:t>
      </w:r>
    </w:p>
    <w:p>
      <w:pPr>
        <w:pStyle w:val="Heading2"/>
      </w:pPr>
      <w:r>
        <w:t>Privacy and boundaries</w:t>
      </w:r>
    </w:p>
    <w:p>
      <w:pPr>
        <w:pStyle w:val="ListBullet"/>
      </w:pPr>
      <w:r>
        <w:rPr>
          <w:rFonts w:ascii="Aptos" w:hAnsi="Aptos"/>
          <w:b w:val="0"/>
          <w:i w:val="0"/>
          <w:color w:val="2F292B"/>
          <w:sz w:val="21"/>
        </w:rPr>
        <w:t>Collect the minimum information required for the requested experience.</w:t>
      </w:r>
    </w:p>
    <w:p>
      <w:pPr>
        <w:pStyle w:val="ListBullet"/>
      </w:pPr>
      <w:r>
        <w:rPr>
          <w:rFonts w:ascii="Aptos" w:hAnsi="Aptos"/>
          <w:b w:val="0"/>
          <w:i w:val="0"/>
          <w:color w:val="2F292B"/>
          <w:sz w:val="21"/>
        </w:rPr>
        <w:t>Keep protected health information and identifying clinical narratives outside Sites, forms, journals, audio submissions, and group spaces.</w:t>
      </w:r>
    </w:p>
    <w:p>
      <w:pPr>
        <w:pStyle w:val="ListBullet"/>
      </w:pPr>
      <w:r>
        <w:rPr>
          <w:rFonts w:ascii="Aptos" w:hAnsi="Aptos"/>
          <w:b w:val="0"/>
          <w:i w:val="0"/>
          <w:color w:val="2F292B"/>
          <w:sz w:val="21"/>
        </w:rPr>
        <w:t>Place consent near data collection and separate service communications from promotional consent.</w:t>
      </w:r>
    </w:p>
    <w:p>
      <w:pPr>
        <w:pStyle w:val="ListBullet"/>
      </w:pPr>
      <w:r>
        <w:rPr>
          <w:rFonts w:ascii="Aptos" w:hAnsi="Aptos"/>
          <w:b w:val="0"/>
          <w:i w:val="0"/>
          <w:color w:val="2F292B"/>
          <w:sz w:val="21"/>
        </w:rPr>
        <w:t>Keep clinical education, individualized medical care, coaching, ministry, research, and professional development clearly delineated.</w:t>
      </w:r>
    </w:p>
    <w:p>
      <w:pPr>
        <w:pStyle w:val="ListBullet"/>
      </w:pPr>
      <w:r>
        <w:rPr>
          <w:rFonts w:ascii="Aptos" w:hAnsi="Aptos"/>
          <w:b w:val="0"/>
          <w:i w:val="0"/>
          <w:color w:val="2F292B"/>
          <w:sz w:val="21"/>
        </w:rPr>
        <w:t>Use role-based access, audit records, retention rules, export controls, and incident response where the existing Site supports durable records.</w:t>
      </w:r>
    </w:p>
    <w:p>
      <w:pPr>
        <w:pStyle w:val="ListBullet"/>
      </w:pPr>
      <w:r>
        <w:rPr>
          <w:rFonts w:ascii="Aptos" w:hAnsi="Aptos"/>
          <w:b w:val="0"/>
          <w:i w:val="0"/>
          <w:color w:val="2F292B"/>
          <w:sz w:val="21"/>
        </w:rPr>
        <w:t>Review legal, privacy, accessibility, safeguarding, research, and entity attribution before event-specific or organization-specific reliance.</w:t>
      </w:r>
    </w:p>
    <w:p>
      <w:r>
        <w:br w:type="page"/>
      </w:r>
    </w:p>
    <w:p>
      <w:pPr>
        <w:pStyle w:val="Heading2"/>
      </w:pPr>
      <w:r>
        <w:t>Final acceptance standard</w:t>
      </w:r>
    </w:p>
    <w:p>
      <w:pPr>
        <w:pStyle w:val="ListBullet"/>
      </w:pPr>
      <w:r>
        <w:rPr>
          <w:rFonts w:ascii="Aptos" w:hAnsi="Aptos"/>
          <w:b w:val="0"/>
          <w:i w:val="0"/>
          <w:color w:val="2F292B"/>
          <w:sz w:val="21"/>
        </w:rPr>
        <w:t>Every established route, feature, legal page, identity, audience, and permission remains present and functional.</w:t>
      </w:r>
    </w:p>
    <w:p>
      <w:pPr>
        <w:pStyle w:val="ListBullet"/>
      </w:pPr>
      <w:r>
        <w:rPr>
          <w:rFonts w:ascii="Aptos" w:hAnsi="Aptos"/>
          <w:b w:val="0"/>
          <w:i w:val="0"/>
          <w:color w:val="2F292B"/>
          <w:sz w:val="21"/>
        </w:rPr>
        <w:t>The professional-calling pathway appears as an additive invitation and connects to relevant books, formats, resources, membership, groups, and coaching.</w:t>
      </w:r>
    </w:p>
    <w:p>
      <w:pPr>
        <w:pStyle w:val="ListBullet"/>
      </w:pPr>
      <w:r>
        <w:rPr>
          <w:rFonts w:ascii="Aptos" w:hAnsi="Aptos"/>
          <w:b w:val="0"/>
          <w:i w:val="0"/>
          <w:color w:val="2F292B"/>
          <w:sz w:val="21"/>
        </w:rPr>
        <w:t>All documents contain complete usable content in editable and fixed formats, with synchronized text.</w:t>
      </w:r>
    </w:p>
    <w:p>
      <w:pPr>
        <w:pStyle w:val="ListBullet"/>
      </w:pPr>
      <w:r>
        <w:rPr>
          <w:rFonts w:ascii="Aptos" w:hAnsi="Aptos"/>
          <w:b w:val="0"/>
          <w:i w:val="0"/>
          <w:color w:val="2F292B"/>
          <w:sz w:val="21"/>
        </w:rPr>
        <w:t>Every video script is ready to record and contains duration, title, visual direction, complete spoken copy, and call to action.</w:t>
      </w:r>
    </w:p>
    <w:p>
      <w:pPr>
        <w:pStyle w:val="ListBullet"/>
      </w:pPr>
      <w:r>
        <w:rPr>
          <w:rFonts w:ascii="Aptos" w:hAnsi="Aptos"/>
          <w:b w:val="0"/>
          <w:i w:val="0"/>
          <w:color w:val="2F292B"/>
          <w:sz w:val="21"/>
        </w:rPr>
        <w:t>All changed routes build successfully, load directly, remain mobile-safe, and retain accessible navigation and focus behavior.</w:t>
      </w:r>
    </w:p>
    <w:p>
      <w:pPr>
        <w:pStyle w:val="ListBullet"/>
      </w:pPr>
      <w:r>
        <w:rPr>
          <w:rFonts w:ascii="Aptos" w:hAnsi="Aptos"/>
          <w:b w:val="0"/>
          <w:i w:val="0"/>
          <w:color w:val="2F292B"/>
          <w:sz w:val="21"/>
        </w:rPr>
        <w:t>All claims have source support or are clearly identified as positioning, recommendation, testimony, interpretation, aspiration, or spiritual discernment.</w:t>
      </w:r>
    </w:p>
    <w:sectPr w:rsidR="00FC693F" w:rsidRPr="0006063C" w:rsidSect="00034616">
      <w:headerReference w:type="default" r:id="rId9"/>
      <w:footerReference w:type="default" r:id="rId10"/>
      <w:pgSz w:w="12240" w:h="15840"/>
      <w:pgMar w:top="1123" w:right="1181" w:bottom="1080" w:left="1181" w:header="547"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i w:val="0"/>
        <w:color w:val="715F62"/>
        <w:sz w:val="16"/>
      </w:rPr>
      <w:t xml:space="preserve">DR. SHERRY-ANN BROWN  |  </w:t>
    </w:r>
    <w:r>
      <w:fldChar w:fldCharType="begin"/>
      <w:instrText xml:space="preserve">PAGE</w:instrText>
      <w:fldChar w:fldCharType="separate"/>
      <w:t>1</w:t>
      <w:fldChar w:fldCharType="end"/>
    </w:r>
    <w:r>
      <w:t xml:space="preserve">  |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ptos" w:hAnsi="Aptos"/>
        <w:b/>
        <w:i w:val="0"/>
        <w:color w:val="B78B3F"/>
        <w:sz w:val="16"/>
      </w:rPr>
      <w:t>IMPLEMENTATION TOOLKIT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4" w:lineRule="auto"/>
    </w:pPr>
    <w:rPr>
      <w:rFonts w:ascii="Aptos" w:hAnsi="Aptos"/>
      <w:color w:val="2F29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Georgia" w:hAnsi="Georgia"/>
      <w:b/>
      <w:bCs/>
      <w:color w:val="762631"/>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Georgia" w:hAnsi="Georgia"/>
      <w:b/>
      <w:bCs/>
      <w:color w:val="762631"/>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32181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Georgia" w:hAnsi="Georgia"/>
      <w:b/>
      <w:color w:val="FFF9F2"/>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Georgia" w:hAnsi="Georgia"/>
      <w:b w:val="0"/>
      <w:i/>
      <w:iCs/>
      <w:color w:val="B78B3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10" w:line="274" w:lineRule="auto"/>
      <w:ind w:left="504"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10" w:line="274" w:lineRule="auto"/>
      <w:ind w:left="504" w:hanging="25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