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3337560" cy="4314923"/>
            <wp:docPr id="1" name="Picture 1"/>
            <wp:cNvGraphicFramePr>
              <a:graphicFrameLocks noChangeAspect="1"/>
            </wp:cNvGraphicFramePr>
            <a:graphic>
              <a:graphicData uri="http://schemas.openxmlformats.org/drawingml/2006/picture">
                <pic:pic>
                  <pic:nvPicPr>
                    <pic:cNvPr id="0" name="professional-calling-editorial-cover.png"/>
                    <pic:cNvPicPr/>
                  </pic:nvPicPr>
                  <pic:blipFill>
                    <a:blip r:embed="rId11"/>
                    <a:stretch>
                      <a:fillRect/>
                    </a:stretch>
                  </pic:blipFill>
                  <pic:spPr>
                    <a:xfrm>
                      <a:off x="0" y="0"/>
                      <a:ext cx="3337560" cy="4314923"/>
                    </a:xfrm>
                    <a:prstGeom prst="rect"/>
                  </pic:spPr>
                </pic:pic>
              </a:graphicData>
            </a:graphic>
          </wp:inline>
        </w:drawing>
      </w:r>
    </w:p>
    <w:p>
      <w:pPr>
        <w:spacing w:before="0"/>
        <w:jc w:val="center"/>
      </w:pPr>
      <w:r>
        <w:rPr>
          <w:rFonts w:ascii="Aptos" w:hAnsi="Aptos"/>
          <w:b/>
          <w:i w:val="0"/>
          <w:color w:val="B78B3F"/>
          <w:sz w:val="18"/>
        </w:rPr>
        <w:t>PARTICIPANT WORKBOOK</w:t>
      </w:r>
    </w:p>
    <w:p>
      <w:pPr>
        <w:spacing w:before="300" w:after="160"/>
        <w:jc w:val="center"/>
      </w:pPr>
      <w:r>
        <w:rPr>
          <w:rFonts w:ascii="Georgia" w:hAnsi="Georgia"/>
          <w:b/>
          <w:i w:val="0"/>
          <w:color w:val="762631"/>
          <w:sz w:val="60"/>
        </w:rPr>
        <w:t>Professional Calling Reflection Workbook</w:t>
      </w:r>
    </w:p>
    <w:p>
      <w:pPr>
        <w:spacing w:after="480"/>
        <w:jc w:val="center"/>
      </w:pPr>
      <w:r>
        <w:rPr>
          <w:rFonts w:ascii="Georgia" w:hAnsi="Georgia"/>
          <w:b w:val="0"/>
          <w:i/>
          <w:color w:val="32181F"/>
          <w:sz w:val="28"/>
        </w:rPr>
        <w:t>A 30-day companion for recognition, integration, discernment, and response</w:t>
      </w:r>
    </w:p>
    <w:p>
      <w:pPr>
        <w:spacing w:before="200"/>
        <w:jc w:val="center"/>
      </w:pPr>
      <w:r>
        <w:rPr>
          <w:rFonts w:ascii="Aptos" w:hAnsi="Aptos"/>
          <w:b/>
          <w:i w:val="0"/>
          <w:color w:val="715F62"/>
          <w:sz w:val="18"/>
        </w:rPr>
        <w:t>Prepared for</w:t>
      </w:r>
    </w:p>
    <w:p>
      <w:pPr>
        <w:jc w:val="center"/>
      </w:pPr>
      <w:r>
        <w:rPr>
          <w:rFonts w:ascii="Georgia" w:hAnsi="Georgia"/>
          <w:b/>
          <w:i w:val="0"/>
          <w:color w:val="762631"/>
          <w:sz w:val="26"/>
        </w:rPr>
        <w:t>Dr. Sherry-Ann Brown, MD, PhD, FACC, FAHA</w:t>
      </w:r>
    </w:p>
    <w:p>
      <w:pPr>
        <w:jc w:val="center"/>
      </w:pPr>
      <w:r>
        <w:rPr>
          <w:rFonts w:ascii="Aptos" w:hAnsi="Aptos"/>
          <w:b/>
          <w:i w:val="0"/>
          <w:color w:val="B78B3F"/>
          <w:sz w:val="18"/>
        </w:rPr>
        <w:t>The MD PhD Prophet  |  The Spark Unfolding Book Club</w:t>
      </w:r>
    </w:p>
    <w:p>
      <w:pPr>
        <w:spacing w:before="160"/>
        <w:jc w:val="center"/>
      </w:pPr>
      <w:r>
        <w:rPr>
          <w:rFonts w:ascii="Aptos" w:hAnsi="Aptos"/>
          <w:b/>
          <w:i w:val="0"/>
          <w:color w:val="32181F"/>
          <w:sz w:val="16"/>
        </w:rPr>
        <w:t>COMPLETE  |  ACCURATE  |  READABLE  |  REFINED  |  PURPOSE-BUILT</w:t>
      </w:r>
    </w:p>
    <w:p>
      <w:r>
        <w:br w:type="page"/>
      </w:r>
    </w:p>
    <w:p>
      <w:pPr>
        <w:pStyle w:val="Heading1"/>
      </w:pPr>
      <w:r>
        <w:t>How to use this workbook</w:t>
      </w:r>
    </w:p>
    <w:p>
      <w:r>
        <w:rPr>
          <w:rFonts w:ascii="Aptos" w:hAnsi="Aptos"/>
          <w:b w:val="0"/>
          <w:i w:val="0"/>
          <w:color w:val="2F292B"/>
          <w:sz w:val="21"/>
        </w:rPr>
        <w:t>Use this workbook beside a digital book, audiobook, print edition, or guided professional circle. Move at a humane pace. Complete one page at a time. Keep personal and professional confidentiality. Spiritual impressions may be recorded as discernment and carried through Scripture, context, time, wise counsel, and fruit.</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BEGIN  </w:t>
            </w:r>
            <w:r>
              <w:rPr>
                <w:rFonts w:ascii="Georgia" w:hAnsi="Georgia"/>
                <w:b w:val="0"/>
                <w:i/>
                <w:color w:val="32181F"/>
                <w:sz w:val="22"/>
              </w:rPr>
              <w:t>Write the question that is already alive in your present season. Let the first sentence be honest before it becomes polished.</w:t>
            </w:r>
          </w:p>
        </w:tc>
      </w:tr>
    </w:tbl>
    <w:p/>
    <w:p>
      <w:pPr>
        <w:pStyle w:val="Heading2"/>
      </w:pPr>
      <w:r>
        <w:t>My present-season question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My format and rhythm</w:t>
      </w:r>
    </w:p>
    <w:p>
      <w:r>
        <w:rPr>
          <w:rFonts w:ascii="Aptos" w:hAnsi="Aptos"/>
          <w:b/>
          <w:i w:val="0"/>
          <w:color w:val="2F292B"/>
          <w:sz w:val="21"/>
        </w:rPr>
        <w:t>I will begin with:</w:t>
      </w:r>
      <w:r>
        <w:rPr>
          <w:rFonts w:ascii="Aptos" w:hAnsi="Aptos"/>
          <w:b w:val="0"/>
          <w:i w:val="0"/>
          <w:color w:val="2F292B"/>
          <w:sz w:val="21"/>
        </w:rPr>
        <w:t xml:space="preserve"> digital / audio / print / a combination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My reading or listening window:</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My realistic weekly rhythm:</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place where I can reflect safely: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person or community I may invite into the process: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Part I. Recognize</w:t>
      </w:r>
    </w:p>
    <w:p>
      <w:r>
        <w:rPr>
          <w:rFonts w:ascii="Aptos" w:hAnsi="Aptos"/>
          <w:b w:val="0"/>
          <w:i w:val="0"/>
          <w:color w:val="2F292B"/>
          <w:sz w:val="21"/>
        </w:rPr>
        <w:t>Recognition gathers what has been present before it explains what it means. Record facts, patterns, repeated questions, embodied responses, and meaningful moments without rushing toward certainty.</w:t>
      </w:r>
    </w:p>
    <w:p>
      <w:pPr>
        <w:pStyle w:val="Heading2"/>
      </w:pPr>
      <w:r>
        <w:t>1. What has returned to my attention across several years or seasons?</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2. Which experiences felt disconnected when they occurred and appear related now?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3. Where do I feel energy, grief, resistance, peace, responsibility, or holy curiosity?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4. Which problem, people, place, or possibility continues to move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5. What preparation have I received that I may have underestimated?</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6. What do other people consistently trust me to see, explain, hold, or lead?</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7. Which part of my story still feels unfinished?</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Recognition summary</w:t>
      </w:r>
    </w:p>
    <w:p>
      <w:r>
        <w:rPr>
          <w:rFonts w:ascii="Aptos" w:hAnsi="Aptos"/>
          <w:b w:val="0"/>
          <w:i w:val="0"/>
          <w:color w:val="2F292B"/>
          <w:sz w:val="21"/>
        </w:rPr>
        <w:t>The pattern I can name today is:</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Part II. Integrate</w:t>
      </w:r>
    </w:p>
    <w:p>
      <w:r>
        <w:rPr>
          <w:rFonts w:ascii="Aptos" w:hAnsi="Aptos"/>
          <w:b w:val="0"/>
          <w:i w:val="0"/>
          <w:color w:val="2F292B"/>
          <w:sz w:val="21"/>
        </w:rPr>
        <w:t>Integration brings professional identity, faith, intellect, emotion, embodiment, relationship, culture, loss, desire, service, and future responsibility into a coherent conversation.</w:t>
      </w:r>
    </w:p>
    <w:p>
      <w:pPr>
        <w:pStyle w:val="Heading2"/>
      </w:pPr>
      <w:r>
        <w:t>Role and value map</w:t>
      </w:r>
    </w:p>
    <w:tbl>
      <w:tblPr>
        <w:tblStyle w:val="TableGrid"/>
        <w:tblW w:type="dxa" w:w="9360"/>
        <w:jc w:val="center"/>
        <w:tblLayout w:type="fixed"/>
        <w:tblLook w:firstColumn="1" w:firstRow="1" w:lastColumn="0" w:lastRow="0" w:noHBand="0" w:noVBand="1" w:val="04A0"/>
        <w:tblInd w:w="140" w:type="dxa"/>
      </w:tblPr>
      <w:tblGrid>
        <w:gridCol w:w="1760"/>
        <w:gridCol w:w="1760"/>
        <w:gridCol w:w="1940"/>
        <w:gridCol w:w="1940"/>
        <w:gridCol w:w="1960"/>
      </w:tblGrid>
      <w:tr>
        <w:trPr>
          <w:tblHeader w:val="true"/>
        </w:trPr>
        <w:tc>
          <w:tcPr>
            <w:tcW w:type="dxa" w:w="1760"/>
            <w:tcMar>
              <w:top w:w="100" w:type="dxa"/>
              <w:start w:w="140" w:type="dxa"/>
              <w:bottom w:w="100" w:type="dxa"/>
              <w:end w:w="140" w:type="dxa"/>
            </w:tcMar>
            <w:shd w:fill="762631"/>
            <w:vAlign w:val="center"/>
          </w:tcPr>
          <w:p>
            <w:r>
              <w:rPr>
                <w:rFonts w:ascii="Aptos" w:hAnsi="Aptos"/>
                <w:b/>
                <w:i w:val="0"/>
                <w:color w:val="FFFFFF"/>
                <w:sz w:val="18"/>
              </w:rPr>
              <w:t>Role I carry</w:t>
            </w:r>
          </w:p>
        </w:tc>
        <w:tc>
          <w:tcPr>
            <w:tcW w:type="dxa" w:w="1760"/>
            <w:tcMar>
              <w:top w:w="100" w:type="dxa"/>
              <w:start w:w="140" w:type="dxa"/>
              <w:bottom w:w="100" w:type="dxa"/>
              <w:end w:w="140" w:type="dxa"/>
            </w:tcMar>
            <w:shd w:fill="762631"/>
            <w:vAlign w:val="center"/>
          </w:tcPr>
          <w:p>
            <w:r>
              <w:rPr>
                <w:rFonts w:ascii="Aptos" w:hAnsi="Aptos"/>
                <w:b/>
                <w:i w:val="0"/>
                <w:color w:val="FFFFFF"/>
                <w:sz w:val="18"/>
              </w:rPr>
              <w:t>Value expressed</w:t>
            </w:r>
          </w:p>
        </w:tc>
        <w:tc>
          <w:tcPr>
            <w:tcW w:type="dxa" w:w="1940"/>
            <w:tcMar>
              <w:top w:w="100" w:type="dxa"/>
              <w:start w:w="140" w:type="dxa"/>
              <w:bottom w:w="100" w:type="dxa"/>
              <w:end w:w="140" w:type="dxa"/>
            </w:tcMar>
            <w:shd w:fill="762631"/>
            <w:vAlign w:val="center"/>
          </w:tcPr>
          <w:p>
            <w:r>
              <w:rPr>
                <w:rFonts w:ascii="Aptos" w:hAnsi="Aptos"/>
                <w:b/>
                <w:i w:val="0"/>
                <w:color w:val="FFFFFF"/>
                <w:sz w:val="18"/>
              </w:rPr>
              <w:t>Gift or skill used</w:t>
            </w:r>
          </w:p>
        </w:tc>
        <w:tc>
          <w:tcPr>
            <w:tcW w:type="dxa" w:w="1940"/>
            <w:tcMar>
              <w:top w:w="100" w:type="dxa"/>
              <w:start w:w="140" w:type="dxa"/>
              <w:bottom w:w="100" w:type="dxa"/>
              <w:end w:w="140" w:type="dxa"/>
            </w:tcMar>
            <w:shd w:fill="762631"/>
            <w:vAlign w:val="center"/>
          </w:tcPr>
          <w:p>
            <w:r>
              <w:rPr>
                <w:rFonts w:ascii="Aptos" w:hAnsi="Aptos"/>
                <w:b/>
                <w:i w:val="0"/>
                <w:color w:val="FFFFFF"/>
                <w:sz w:val="18"/>
              </w:rPr>
              <w:t>Cost or tension</w:t>
            </w:r>
          </w:p>
        </w:tc>
        <w:tc>
          <w:tcPr>
            <w:tcW w:type="dxa" w:w="1960"/>
            <w:tcMar>
              <w:top w:w="100" w:type="dxa"/>
              <w:start w:w="140" w:type="dxa"/>
              <w:bottom w:w="100" w:type="dxa"/>
              <w:end w:w="140" w:type="dxa"/>
            </w:tcMar>
            <w:shd w:fill="762631"/>
            <w:vAlign w:val="center"/>
          </w:tcPr>
          <w:p>
            <w:r>
              <w:rPr>
                <w:rFonts w:ascii="Aptos" w:hAnsi="Aptos"/>
                <w:b/>
                <w:i w:val="0"/>
                <w:color w:val="FFFFFF"/>
                <w:sz w:val="18"/>
              </w:rPr>
              <w:t>What this may be forming</w:t>
            </w:r>
          </w:p>
        </w:tc>
      </w:tr>
      <w:tr>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60"/>
            <w:vAlign w:val="center"/>
            <w:tcMar>
              <w:top w:w="100" w:type="dxa"/>
              <w:start w:w="140" w:type="dxa"/>
              <w:bottom w:w="100" w:type="dxa"/>
              <w:end w:w="140" w:type="dxa"/>
            </w:tcMar>
          </w:tcPr>
          <w:p>
            <w:r>
              <w:rPr>
                <w:rFonts w:ascii="Aptos" w:hAnsi="Aptos"/>
                <w:b w:val="0"/>
                <w:i w:val="0"/>
                <w:color w:val="2F292B"/>
                <w:sz w:val="18"/>
              </w:rPr>
            </w:r>
          </w:p>
        </w:tc>
      </w:tr>
      <w:tr>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60"/>
            <w:vAlign w:val="center"/>
            <w:tcMar>
              <w:top w:w="100" w:type="dxa"/>
              <w:start w:w="140" w:type="dxa"/>
              <w:bottom w:w="100" w:type="dxa"/>
              <w:end w:w="140" w:type="dxa"/>
            </w:tcMar>
          </w:tcPr>
          <w:p>
            <w:r>
              <w:rPr>
                <w:rFonts w:ascii="Aptos" w:hAnsi="Aptos"/>
                <w:b w:val="0"/>
                <w:i w:val="0"/>
                <w:color w:val="2F292B"/>
                <w:sz w:val="18"/>
              </w:rPr>
            </w:r>
          </w:p>
        </w:tc>
      </w:tr>
      <w:tr>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60"/>
            <w:vAlign w:val="center"/>
            <w:tcMar>
              <w:top w:w="100" w:type="dxa"/>
              <w:start w:w="140" w:type="dxa"/>
              <w:bottom w:w="100" w:type="dxa"/>
              <w:end w:w="140" w:type="dxa"/>
            </w:tcMar>
          </w:tcPr>
          <w:p>
            <w:r>
              <w:rPr>
                <w:rFonts w:ascii="Aptos" w:hAnsi="Aptos"/>
                <w:b w:val="0"/>
                <w:i w:val="0"/>
                <w:color w:val="2F292B"/>
                <w:sz w:val="18"/>
              </w:rPr>
            </w:r>
          </w:p>
        </w:tc>
      </w:tr>
      <w:tr>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60"/>
            <w:vAlign w:val="center"/>
            <w:tcMar>
              <w:top w:w="100" w:type="dxa"/>
              <w:start w:w="140" w:type="dxa"/>
              <w:bottom w:w="100" w:type="dxa"/>
              <w:end w:w="140" w:type="dxa"/>
            </w:tcMar>
          </w:tcPr>
          <w:p>
            <w:r>
              <w:rPr>
                <w:rFonts w:ascii="Aptos" w:hAnsi="Aptos"/>
                <w:b w:val="0"/>
                <w:i w:val="0"/>
                <w:color w:val="2F292B"/>
                <w:sz w:val="18"/>
              </w:rPr>
            </w:r>
          </w:p>
        </w:tc>
      </w:tr>
      <w:tr>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76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40"/>
            <w:vAlign w:val="center"/>
            <w:tcMar>
              <w:top w:w="100" w:type="dxa"/>
              <w:start w:w="140" w:type="dxa"/>
              <w:bottom w:w="100" w:type="dxa"/>
              <w:end w:w="140" w:type="dxa"/>
            </w:tcMar>
          </w:tcPr>
          <w:p>
            <w:r>
              <w:rPr>
                <w:rFonts w:ascii="Aptos" w:hAnsi="Aptos"/>
                <w:b w:val="0"/>
                <w:i w:val="0"/>
                <w:color w:val="2F292B"/>
                <w:sz w:val="18"/>
              </w:rPr>
            </w:r>
          </w:p>
        </w:tc>
        <w:tc>
          <w:tcPr>
            <w:tcW w:type="dxa" w:w="1960"/>
            <w:vAlign w:val="center"/>
            <w:tcMar>
              <w:top w:w="100" w:type="dxa"/>
              <w:start w:w="140" w:type="dxa"/>
              <w:bottom w:w="100" w:type="dxa"/>
              <w:end w:w="140" w:type="dxa"/>
            </w:tcMar>
          </w:tcPr>
          <w:p>
            <w:r>
              <w:rPr>
                <w:rFonts w:ascii="Aptos" w:hAnsi="Aptos"/>
                <w:b w:val="0"/>
                <w:i w:val="0"/>
                <w:color w:val="2F292B"/>
                <w:sz w:val="18"/>
              </w:rPr>
            </w:r>
          </w:p>
        </w:tc>
      </w:tr>
    </w:tbl>
    <w:p/>
    <w:p>
      <w:pPr>
        <w:pStyle w:val="Heading2"/>
      </w:pPr>
      <w:r>
        <w:t>1. Where have I separated faith from professional identity?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2. Where has professional responsibility refined my spiritual maturity?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3. Which strengths create energy, and which become overused under pressure?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4. What has grief taught me about what matters?</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5. What desire has remained with me long enough to deserve careful attention?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6. Which relationships have confirmed, corrected, protected, or expanded my understanding?</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7. What would a more integrated life make possible for the people I serve?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Integration statement</w:t>
      </w:r>
    </w:p>
    <w:p>
      <w:r>
        <w:rPr>
          <w:rFonts w:ascii="Aptos" w:hAnsi="Aptos"/>
          <w:b w:val="0"/>
          <w:i w:val="0"/>
          <w:color w:val="2F292B"/>
          <w:sz w:val="21"/>
        </w:rPr>
        <w:t>In this season, professional preparation, spiritual formation, and lived experience converge around:</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Part III. Discern</w:t>
      </w:r>
    </w:p>
    <w:p>
      <w:r>
        <w:rPr>
          <w:rFonts w:ascii="Aptos" w:hAnsi="Aptos"/>
          <w:b w:val="0"/>
          <w:i w:val="0"/>
          <w:color w:val="2F292B"/>
          <w:sz w:val="21"/>
        </w:rPr>
        <w:t>Discernment separates several meanings that can feel similar. Use the pages below to distinguish calling from capability, urgency from timing, visibility from stewardship, aspiration from assignment, and personal resonance from responsible interpretation.</w:t>
      </w:r>
    </w:p>
    <w:tbl>
      <w:tblPr>
        <w:tblStyle w:val="TableGrid"/>
        <w:tblW w:type="dxa" w:w="9360"/>
        <w:jc w:val="center"/>
        <w:tblLayout w:type="fixed"/>
        <w:tblLook w:firstColumn="1" w:firstRow="1" w:lastColumn="0" w:lastRow="0" w:noHBand="0" w:noVBand="1" w:val="04A0"/>
        <w:tblInd w:w="140" w:type="dxa"/>
      </w:tblPr>
      <w:tblGrid>
        <w:gridCol w:w="2180"/>
        <w:gridCol w:w="2390"/>
        <w:gridCol w:w="2390"/>
        <w:gridCol w:w="2400"/>
      </w:tblGrid>
      <w:tr>
        <w:trPr>
          <w:tblHeader w:val="true"/>
        </w:trPr>
        <w:tc>
          <w:tcPr>
            <w:tcW w:type="dxa" w:w="2180"/>
            <w:tcMar>
              <w:top w:w="100" w:type="dxa"/>
              <w:start w:w="140" w:type="dxa"/>
              <w:bottom w:w="100" w:type="dxa"/>
              <w:end w:w="140" w:type="dxa"/>
            </w:tcMar>
            <w:shd w:fill="762631"/>
            <w:vAlign w:val="center"/>
          </w:tcPr>
          <w:p>
            <w:r>
              <w:rPr>
                <w:rFonts w:ascii="Aptos" w:hAnsi="Aptos"/>
                <w:b/>
                <w:i w:val="0"/>
                <w:color w:val="FFFFFF"/>
                <w:sz w:val="18"/>
              </w:rPr>
              <w:t>Question</w:t>
            </w:r>
          </w:p>
        </w:tc>
        <w:tc>
          <w:tcPr>
            <w:tcW w:type="dxa" w:w="2390"/>
            <w:tcMar>
              <w:top w:w="100" w:type="dxa"/>
              <w:start w:w="140" w:type="dxa"/>
              <w:bottom w:w="100" w:type="dxa"/>
              <w:end w:w="140" w:type="dxa"/>
            </w:tcMar>
            <w:shd w:fill="762631"/>
            <w:vAlign w:val="center"/>
          </w:tcPr>
          <w:p>
            <w:r>
              <w:rPr>
                <w:rFonts w:ascii="Aptos" w:hAnsi="Aptos"/>
                <w:b/>
                <w:i w:val="0"/>
                <w:color w:val="FFFFFF"/>
                <w:sz w:val="18"/>
              </w:rPr>
              <w:t>My present answer</w:t>
            </w:r>
          </w:p>
        </w:tc>
        <w:tc>
          <w:tcPr>
            <w:tcW w:type="dxa" w:w="2390"/>
            <w:tcMar>
              <w:top w:w="100" w:type="dxa"/>
              <w:start w:w="140" w:type="dxa"/>
              <w:bottom w:w="100" w:type="dxa"/>
              <w:end w:w="140" w:type="dxa"/>
            </w:tcMar>
            <w:shd w:fill="762631"/>
            <w:vAlign w:val="center"/>
          </w:tcPr>
          <w:p>
            <w:r>
              <w:rPr>
                <w:rFonts w:ascii="Aptos" w:hAnsi="Aptos"/>
                <w:b/>
                <w:i w:val="0"/>
                <w:color w:val="FFFFFF"/>
                <w:sz w:val="18"/>
              </w:rPr>
              <w:t>Evidence or context</w:t>
            </w:r>
          </w:p>
        </w:tc>
        <w:tc>
          <w:tcPr>
            <w:tcW w:type="dxa" w:w="2400"/>
            <w:tcMar>
              <w:top w:w="100" w:type="dxa"/>
              <w:start w:w="140" w:type="dxa"/>
              <w:bottom w:w="100" w:type="dxa"/>
              <w:end w:w="140" w:type="dxa"/>
            </w:tcMar>
            <w:shd w:fill="762631"/>
            <w:vAlign w:val="center"/>
          </w:tcPr>
          <w:p>
            <w:r>
              <w:rPr>
                <w:rFonts w:ascii="Aptos" w:hAnsi="Aptos"/>
                <w:b/>
                <w:i w:val="0"/>
                <w:color w:val="FFFFFF"/>
                <w:sz w:val="18"/>
              </w:rPr>
              <w:t>What remains uncertain</w:t>
            </w:r>
          </w:p>
        </w:tc>
      </w:tr>
      <w:tr>
        <w:tc>
          <w:tcPr>
            <w:tcW w:type="dxa" w:w="2180"/>
            <w:vAlign w:val="center"/>
            <w:tcMar>
              <w:top w:w="100" w:type="dxa"/>
              <w:start w:w="140" w:type="dxa"/>
              <w:bottom w:w="100" w:type="dxa"/>
              <w:end w:w="140" w:type="dxa"/>
            </w:tcMar>
          </w:tcPr>
          <w:p>
            <w:r>
              <w:rPr>
                <w:rFonts w:ascii="Aptos" w:hAnsi="Aptos"/>
                <w:b w:val="0"/>
                <w:i w:val="0"/>
                <w:color w:val="2F292B"/>
                <w:sz w:val="18"/>
              </w:rPr>
              <w:t>What is established fact?</w:t>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400"/>
            <w:vAlign w:val="center"/>
            <w:tcMar>
              <w:top w:w="100" w:type="dxa"/>
              <w:start w:w="140" w:type="dxa"/>
              <w:bottom w:w="100" w:type="dxa"/>
              <w:end w:w="140" w:type="dxa"/>
            </w:tcMar>
          </w:tcPr>
          <w:p>
            <w:r>
              <w:rPr>
                <w:rFonts w:ascii="Aptos" w:hAnsi="Aptos"/>
                <w:b w:val="0"/>
                <w:i w:val="0"/>
                <w:color w:val="2F292B"/>
                <w:sz w:val="18"/>
              </w:rPr>
            </w:r>
          </w:p>
        </w:tc>
      </w:tr>
      <w:tr>
        <w:tc>
          <w:tcPr>
            <w:tcW w:type="dxa" w:w="2180"/>
            <w:vAlign w:val="center"/>
            <w:tcMar>
              <w:top w:w="100" w:type="dxa"/>
              <w:start w:w="140" w:type="dxa"/>
              <w:bottom w:w="100" w:type="dxa"/>
              <w:end w:w="140" w:type="dxa"/>
            </w:tcMar>
          </w:tcPr>
          <w:p>
            <w:r>
              <w:rPr>
                <w:rFonts w:ascii="Aptos" w:hAnsi="Aptos"/>
                <w:b w:val="0"/>
                <w:i w:val="0"/>
                <w:color w:val="2F292B"/>
                <w:sz w:val="18"/>
              </w:rPr>
              <w:t>What is my interpretation?</w:t>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400"/>
            <w:vAlign w:val="center"/>
            <w:tcMar>
              <w:top w:w="100" w:type="dxa"/>
              <w:start w:w="140" w:type="dxa"/>
              <w:bottom w:w="100" w:type="dxa"/>
              <w:end w:w="140" w:type="dxa"/>
            </w:tcMar>
          </w:tcPr>
          <w:p>
            <w:r>
              <w:rPr>
                <w:rFonts w:ascii="Aptos" w:hAnsi="Aptos"/>
                <w:b w:val="0"/>
                <w:i w:val="0"/>
                <w:color w:val="2F292B"/>
                <w:sz w:val="18"/>
              </w:rPr>
            </w:r>
          </w:p>
        </w:tc>
      </w:tr>
      <w:tr>
        <w:tc>
          <w:tcPr>
            <w:tcW w:type="dxa" w:w="2180"/>
            <w:vAlign w:val="center"/>
            <w:tcMar>
              <w:top w:w="100" w:type="dxa"/>
              <w:start w:w="140" w:type="dxa"/>
              <w:bottom w:w="100" w:type="dxa"/>
              <w:end w:w="140" w:type="dxa"/>
            </w:tcMar>
          </w:tcPr>
          <w:p>
            <w:r>
              <w:rPr>
                <w:rFonts w:ascii="Aptos" w:hAnsi="Aptos"/>
                <w:b w:val="0"/>
                <w:i w:val="0"/>
                <w:color w:val="2F292B"/>
                <w:sz w:val="18"/>
              </w:rPr>
              <w:t>What is personal testimony?</w:t>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400"/>
            <w:vAlign w:val="center"/>
            <w:tcMar>
              <w:top w:w="100" w:type="dxa"/>
              <w:start w:w="140" w:type="dxa"/>
              <w:bottom w:w="100" w:type="dxa"/>
              <w:end w:w="140" w:type="dxa"/>
            </w:tcMar>
          </w:tcPr>
          <w:p>
            <w:r>
              <w:rPr>
                <w:rFonts w:ascii="Aptos" w:hAnsi="Aptos"/>
                <w:b w:val="0"/>
                <w:i w:val="0"/>
                <w:color w:val="2F292B"/>
                <w:sz w:val="18"/>
              </w:rPr>
            </w:r>
          </w:p>
        </w:tc>
      </w:tr>
      <w:tr>
        <w:tc>
          <w:tcPr>
            <w:tcW w:type="dxa" w:w="2180"/>
            <w:vAlign w:val="center"/>
            <w:tcMar>
              <w:top w:w="100" w:type="dxa"/>
              <w:start w:w="140" w:type="dxa"/>
              <w:bottom w:w="100" w:type="dxa"/>
              <w:end w:w="140" w:type="dxa"/>
            </w:tcMar>
          </w:tcPr>
          <w:p>
            <w:r>
              <w:rPr>
                <w:rFonts w:ascii="Aptos" w:hAnsi="Aptos"/>
                <w:b w:val="0"/>
                <w:i w:val="0"/>
                <w:color w:val="2F292B"/>
                <w:sz w:val="18"/>
              </w:rPr>
              <w:t>What is spiritual discernment?</w:t>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400"/>
            <w:vAlign w:val="center"/>
            <w:tcMar>
              <w:top w:w="100" w:type="dxa"/>
              <w:start w:w="140" w:type="dxa"/>
              <w:bottom w:w="100" w:type="dxa"/>
              <w:end w:w="140" w:type="dxa"/>
            </w:tcMar>
          </w:tcPr>
          <w:p>
            <w:r>
              <w:rPr>
                <w:rFonts w:ascii="Aptos" w:hAnsi="Aptos"/>
                <w:b w:val="0"/>
                <w:i w:val="0"/>
                <w:color w:val="2F292B"/>
                <w:sz w:val="18"/>
              </w:rPr>
            </w:r>
          </w:p>
        </w:tc>
      </w:tr>
      <w:tr>
        <w:tc>
          <w:tcPr>
            <w:tcW w:type="dxa" w:w="2180"/>
            <w:vAlign w:val="center"/>
            <w:tcMar>
              <w:top w:w="100" w:type="dxa"/>
              <w:start w:w="140" w:type="dxa"/>
              <w:bottom w:w="100" w:type="dxa"/>
              <w:end w:w="140" w:type="dxa"/>
            </w:tcMar>
          </w:tcPr>
          <w:p>
            <w:r>
              <w:rPr>
                <w:rFonts w:ascii="Aptos" w:hAnsi="Aptos"/>
                <w:b w:val="0"/>
                <w:i w:val="0"/>
                <w:color w:val="2F292B"/>
                <w:sz w:val="18"/>
              </w:rPr>
              <w:t>What counsel have I received?</w:t>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400"/>
            <w:vAlign w:val="center"/>
            <w:tcMar>
              <w:top w:w="100" w:type="dxa"/>
              <w:start w:w="140" w:type="dxa"/>
              <w:bottom w:w="100" w:type="dxa"/>
              <w:end w:w="140" w:type="dxa"/>
            </w:tcMar>
          </w:tcPr>
          <w:p>
            <w:r>
              <w:rPr>
                <w:rFonts w:ascii="Aptos" w:hAnsi="Aptos"/>
                <w:b w:val="0"/>
                <w:i w:val="0"/>
                <w:color w:val="2F292B"/>
                <w:sz w:val="18"/>
              </w:rPr>
            </w:r>
          </w:p>
        </w:tc>
      </w:tr>
      <w:tr>
        <w:tc>
          <w:tcPr>
            <w:tcW w:type="dxa" w:w="2180"/>
            <w:vAlign w:val="center"/>
            <w:tcMar>
              <w:top w:w="100" w:type="dxa"/>
              <w:start w:w="140" w:type="dxa"/>
              <w:bottom w:w="100" w:type="dxa"/>
              <w:end w:w="140" w:type="dxa"/>
            </w:tcMar>
          </w:tcPr>
          <w:p>
            <w:r>
              <w:rPr>
                <w:rFonts w:ascii="Aptos" w:hAnsi="Aptos"/>
                <w:b w:val="0"/>
                <w:i w:val="0"/>
                <w:color w:val="2F292B"/>
                <w:sz w:val="18"/>
              </w:rPr>
              <w:t>What fruit is emerging?</w:t>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390"/>
            <w:vAlign w:val="center"/>
            <w:tcMar>
              <w:top w:w="100" w:type="dxa"/>
              <w:start w:w="140" w:type="dxa"/>
              <w:bottom w:w="100" w:type="dxa"/>
              <w:end w:w="140" w:type="dxa"/>
            </w:tcMar>
          </w:tcPr>
          <w:p>
            <w:r>
              <w:rPr>
                <w:rFonts w:ascii="Aptos" w:hAnsi="Aptos"/>
                <w:b w:val="0"/>
                <w:i w:val="0"/>
                <w:color w:val="2F292B"/>
                <w:sz w:val="18"/>
              </w:rPr>
            </w:r>
          </w:p>
        </w:tc>
        <w:tc>
          <w:tcPr>
            <w:tcW w:type="dxa" w:w="2400"/>
            <w:vAlign w:val="center"/>
            <w:tcMar>
              <w:top w:w="100" w:type="dxa"/>
              <w:start w:w="140" w:type="dxa"/>
              <w:bottom w:w="100" w:type="dxa"/>
              <w:end w:w="140" w:type="dxa"/>
            </w:tcMar>
          </w:tcPr>
          <w:p>
            <w:r>
              <w:rPr>
                <w:rFonts w:ascii="Aptos" w:hAnsi="Aptos"/>
                <w:b w:val="0"/>
                <w:i w:val="0"/>
                <w:color w:val="2F292B"/>
                <w:sz w:val="18"/>
              </w:rPr>
            </w:r>
          </w:p>
        </w:tc>
      </w:tr>
    </w:tbl>
    <w:p/>
    <w:p>
      <w:pPr>
        <w:pStyle w:val="Heading2"/>
      </w:pPr>
      <w:r>
        <w:t>1. What can I do that may not belong to my present assignment?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2. What feels urgent, and what actually has a deadline?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3. What response would remain faithful even if it received little visibility?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4. Which interpretation needs more Scripture, evidence, training, time, counsel, or testing?</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5. Who may be affected by my decision, and what duty of care do I carry?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6. What risks, permissions, resources, relationships, and boundaries shape a responsible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7. What fruit would support this direction over time?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Provisional discernment statement</w:t>
      </w:r>
    </w:p>
    <w:p>
      <w:r>
        <w:rPr>
          <w:rFonts w:ascii="Aptos" w:hAnsi="Aptos"/>
          <w:b w:val="0"/>
          <w:i w:val="0"/>
          <w:color w:val="2F292B"/>
          <w:sz w:val="21"/>
        </w:rPr>
        <w:t>Based on the information, prayer, context, and counsel available today, I am holding this understanding provisionally: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Part IV. Respond</w:t>
      </w:r>
    </w:p>
    <w:p>
      <w:r>
        <w:rPr>
          <w:rFonts w:ascii="Aptos" w:hAnsi="Aptos"/>
          <w:b w:val="0"/>
          <w:i w:val="0"/>
          <w:color w:val="2F292B"/>
          <w:sz w:val="21"/>
        </w:rPr>
        <w:t>Response gives discernment a proportionate form. Begin with a step that is faithful, practical, ethically sound, and possible within the present season.</w:t>
      </w:r>
    </w:p>
    <w:p>
      <w:pPr>
        <w:pStyle w:val="Heading2"/>
      </w:pPr>
      <w:r>
        <w:t>My next-step menu</w:t>
      </w:r>
    </w:p>
    <w:p>
      <w:pPr>
        <w:pStyle w:val="ListBullet"/>
      </w:pPr>
      <w:r>
        <w:rPr>
          <w:rFonts w:ascii="Aptos" w:hAnsi="Aptos"/>
          <w:b w:val="0"/>
          <w:i w:val="0"/>
          <w:color w:val="2F292B"/>
          <w:sz w:val="21"/>
        </w:rPr>
        <w:t>One conversation I can schedule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boundary I can establish</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application, proposal, or request I can submit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hour of study or training I can complete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act of service that does not depend on visibility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counsel relationship I can strengthen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reversible experiment I can run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ListBullet"/>
      </w:pPr>
      <w:r>
        <w:rPr>
          <w:rFonts w:ascii="Aptos" w:hAnsi="Aptos"/>
          <w:b w:val="0"/>
          <w:i w:val="0"/>
          <w:color w:val="2F292B"/>
          <w:sz w:val="21"/>
        </w:rPr>
        <w:t>One responsibility I can delegate, renegotiate, or release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Decision page</w:t>
      </w:r>
    </w:p>
    <w:p>
      <w:r>
        <w:rPr>
          <w:rFonts w:ascii="Aptos" w:hAnsi="Aptos"/>
          <w:b/>
          <w:i w:val="0"/>
          <w:color w:val="2F292B"/>
          <w:sz w:val="21"/>
        </w:rPr>
        <w:t>The next faithful step is: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I will complete it by: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support or permission required is: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risk I will manage is: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evidence or fruit I will review is: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date I will reassess is: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The 30-day rhythm</w:t>
      </w:r>
    </w:p>
    <w:tbl>
      <w:tblPr>
        <w:tblStyle w:val="TableGrid"/>
        <w:tblW w:type="dxa" w:w="9360"/>
        <w:jc w:val="center"/>
        <w:tblLayout w:type="fixed"/>
        <w:tblLook w:firstColumn="1" w:firstRow="1" w:lastColumn="0" w:lastRow="0" w:noHBand="0" w:noVBand="1" w:val="04A0"/>
        <w:tblInd w:w="140" w:type="dxa"/>
      </w:tblPr>
      <w:tblGrid>
        <w:gridCol w:w="720"/>
        <w:gridCol w:w="1500"/>
        <w:gridCol w:w="3570"/>
        <w:gridCol w:w="3570"/>
      </w:tblGrid>
      <w:tr>
        <w:trPr>
          <w:tblHeader w:val="true"/>
        </w:trPr>
        <w:tc>
          <w:tcPr>
            <w:tcW w:type="dxa" w:w="720"/>
            <w:tcMar>
              <w:top w:w="100" w:type="dxa"/>
              <w:start w:w="140" w:type="dxa"/>
              <w:bottom w:w="100" w:type="dxa"/>
              <w:end w:w="140" w:type="dxa"/>
            </w:tcMar>
            <w:shd w:fill="762631"/>
            <w:vAlign w:val="center"/>
          </w:tcPr>
          <w:p>
            <w:r>
              <w:rPr>
                <w:rFonts w:ascii="Aptos" w:hAnsi="Aptos"/>
                <w:b/>
                <w:i w:val="0"/>
                <w:color w:val="FFFFFF"/>
                <w:sz w:val="18"/>
              </w:rPr>
              <w:t>Day</w:t>
            </w:r>
          </w:p>
        </w:tc>
        <w:tc>
          <w:tcPr>
            <w:tcW w:type="dxa" w:w="1500"/>
            <w:tcMar>
              <w:top w:w="100" w:type="dxa"/>
              <w:start w:w="140" w:type="dxa"/>
              <w:bottom w:w="100" w:type="dxa"/>
              <w:end w:w="140" w:type="dxa"/>
            </w:tcMar>
            <w:shd w:fill="762631"/>
            <w:vAlign w:val="center"/>
          </w:tcPr>
          <w:p>
            <w:r>
              <w:rPr>
                <w:rFonts w:ascii="Aptos" w:hAnsi="Aptos"/>
                <w:b/>
                <w:i w:val="0"/>
                <w:color w:val="FFFFFF"/>
                <w:sz w:val="18"/>
              </w:rPr>
              <w:t>Movement</w:t>
            </w:r>
          </w:p>
        </w:tc>
        <w:tc>
          <w:tcPr>
            <w:tcW w:type="dxa" w:w="3570"/>
            <w:tcMar>
              <w:top w:w="100" w:type="dxa"/>
              <w:start w:w="140" w:type="dxa"/>
              <w:bottom w:w="100" w:type="dxa"/>
              <w:end w:w="140" w:type="dxa"/>
            </w:tcMar>
            <w:shd w:fill="762631"/>
            <w:vAlign w:val="center"/>
          </w:tcPr>
          <w:p>
            <w:r>
              <w:rPr>
                <w:rFonts w:ascii="Aptos" w:hAnsi="Aptos"/>
                <w:b/>
                <w:i w:val="0"/>
                <w:color w:val="FFFFFF"/>
                <w:sz w:val="18"/>
              </w:rPr>
              <w:t>One sentence I am carrying</w:t>
            </w:r>
          </w:p>
        </w:tc>
        <w:tc>
          <w:tcPr>
            <w:tcW w:type="dxa" w:w="3570"/>
            <w:tcMar>
              <w:top w:w="100" w:type="dxa"/>
              <w:start w:w="140" w:type="dxa"/>
              <w:bottom w:w="100" w:type="dxa"/>
              <w:end w:w="140" w:type="dxa"/>
            </w:tcMar>
            <w:shd w:fill="762631"/>
            <w:vAlign w:val="center"/>
          </w:tcPr>
          <w:p>
            <w:r>
              <w:rPr>
                <w:rFonts w:ascii="Aptos" w:hAnsi="Aptos"/>
                <w:b/>
                <w:i w:val="0"/>
                <w:color w:val="FFFFFF"/>
                <w:sz w:val="18"/>
              </w:rPr>
              <w:t>One response or question</w:t>
            </w:r>
          </w:p>
        </w:tc>
      </w:tr>
      <w:tr>
        <w:tc>
          <w:tcPr>
            <w:tcW w:type="dxa" w:w="720"/>
            <w:vAlign w:val="center"/>
            <w:tcMar>
              <w:top w:w="100" w:type="dxa"/>
              <w:start w:w="140" w:type="dxa"/>
              <w:bottom w:w="100" w:type="dxa"/>
              <w:end w:w="140" w:type="dxa"/>
            </w:tcMar>
          </w:tcPr>
          <w:p>
            <w:r>
              <w:rPr>
                <w:rFonts w:ascii="Aptos" w:hAnsi="Aptos"/>
                <w:b w:val="0"/>
                <w:i w:val="0"/>
                <w:color w:val="2F292B"/>
                <w:sz w:val="18"/>
              </w:rPr>
              <w:t>1</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3</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4</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5</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6</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7</w:t>
            </w:r>
          </w:p>
        </w:tc>
        <w:tc>
          <w:tcPr>
            <w:tcW w:type="dxa" w:w="1500"/>
            <w:vAlign w:val="center"/>
            <w:tcMar>
              <w:top w:w="100" w:type="dxa"/>
              <w:start w:w="140" w:type="dxa"/>
              <w:bottom w:w="100" w:type="dxa"/>
              <w:end w:w="140" w:type="dxa"/>
            </w:tcMar>
          </w:tcPr>
          <w:p>
            <w:r>
              <w:rPr>
                <w:rFonts w:ascii="Aptos" w:hAnsi="Aptos"/>
                <w:b w:val="0"/>
                <w:i w:val="0"/>
                <w:color w:val="2F292B"/>
                <w:sz w:val="18"/>
              </w:rPr>
              <w:t>Recognize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8</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9</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10</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11</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12</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13</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14</w:t>
            </w:r>
          </w:p>
        </w:tc>
        <w:tc>
          <w:tcPr>
            <w:tcW w:type="dxa" w:w="1500"/>
            <w:vAlign w:val="center"/>
            <w:tcMar>
              <w:top w:w="100" w:type="dxa"/>
              <w:start w:w="140" w:type="dxa"/>
              <w:bottom w:w="100" w:type="dxa"/>
              <w:end w:w="140" w:type="dxa"/>
            </w:tcMar>
          </w:tcPr>
          <w:p>
            <w:r>
              <w:rPr>
                <w:rFonts w:ascii="Aptos" w:hAnsi="Aptos"/>
                <w:b w:val="0"/>
                <w:i w:val="0"/>
                <w:color w:val="2F292B"/>
                <w:sz w:val="18"/>
              </w:rPr>
              <w:t>Integrate</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15</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16</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17</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18</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19</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20</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21</w:t>
            </w:r>
          </w:p>
        </w:tc>
        <w:tc>
          <w:tcPr>
            <w:tcW w:type="dxa" w:w="1500"/>
            <w:vAlign w:val="center"/>
            <w:tcMar>
              <w:top w:w="100" w:type="dxa"/>
              <w:start w:w="140" w:type="dxa"/>
              <w:bottom w:w="100" w:type="dxa"/>
              <w:end w:w="140" w:type="dxa"/>
            </w:tcMar>
          </w:tcPr>
          <w:p>
            <w:r>
              <w:rPr>
                <w:rFonts w:ascii="Aptos" w:hAnsi="Aptos"/>
                <w:b w:val="0"/>
                <w:i w:val="0"/>
                <w:color w:val="2F292B"/>
                <w:sz w:val="18"/>
              </w:rPr>
              <w:t>Discern</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22</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23</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24</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25</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26</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27</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28</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29</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r>
        <w:tc>
          <w:tcPr>
            <w:tcW w:type="dxa" w:w="720"/>
            <w:vAlign w:val="center"/>
            <w:tcMar>
              <w:top w:w="100" w:type="dxa"/>
              <w:start w:w="140" w:type="dxa"/>
              <w:bottom w:w="100" w:type="dxa"/>
              <w:end w:w="140" w:type="dxa"/>
            </w:tcMar>
          </w:tcPr>
          <w:p>
            <w:r>
              <w:rPr>
                <w:rFonts w:ascii="Aptos" w:hAnsi="Aptos"/>
                <w:b w:val="0"/>
                <w:i w:val="0"/>
                <w:color w:val="2F292B"/>
                <w:sz w:val="18"/>
              </w:rPr>
              <w:t>30</w:t>
            </w:r>
          </w:p>
        </w:tc>
        <w:tc>
          <w:tcPr>
            <w:tcW w:type="dxa" w:w="1500"/>
            <w:vAlign w:val="center"/>
            <w:tcMar>
              <w:top w:w="100" w:type="dxa"/>
              <w:start w:w="140" w:type="dxa"/>
              <w:bottom w:w="100" w:type="dxa"/>
              <w:end w:w="140" w:type="dxa"/>
            </w:tcMar>
          </w:tcPr>
          <w:p>
            <w:r>
              <w:rPr>
                <w:rFonts w:ascii="Aptos" w:hAnsi="Aptos"/>
                <w:b w:val="0"/>
                <w:i w:val="0"/>
                <w:color w:val="2F292B"/>
                <w:sz w:val="18"/>
              </w:rPr>
              <w:t>Respond</w:t>
            </w:r>
          </w:p>
        </w:tc>
        <w:tc>
          <w:tcPr>
            <w:tcW w:type="dxa" w:w="3570"/>
            <w:vAlign w:val="center"/>
            <w:tcMar>
              <w:top w:w="100" w:type="dxa"/>
              <w:start w:w="140" w:type="dxa"/>
              <w:bottom w:w="100" w:type="dxa"/>
              <w:end w:w="140" w:type="dxa"/>
            </w:tcMar>
          </w:tcPr>
          <w:p>
            <w:r>
              <w:rPr>
                <w:rFonts w:ascii="Aptos" w:hAnsi="Aptos"/>
                <w:b w:val="0"/>
                <w:i w:val="0"/>
                <w:color w:val="2F292B"/>
                <w:sz w:val="18"/>
              </w:rPr>
            </w:r>
          </w:p>
        </w:tc>
        <w:tc>
          <w:tcPr>
            <w:tcW w:type="dxa" w:w="3570"/>
            <w:vAlign w:val="center"/>
            <w:tcMar>
              <w:top w:w="100" w:type="dxa"/>
              <w:start w:w="140" w:type="dxa"/>
              <w:bottom w:w="100" w:type="dxa"/>
              <w:end w:w="140" w:type="dxa"/>
            </w:tcMar>
          </w:tcPr>
          <w:p>
            <w:r>
              <w:rPr>
                <w:rFonts w:ascii="Aptos" w:hAnsi="Aptos"/>
                <w:b w:val="0"/>
                <w:i w:val="0"/>
                <w:color w:val="2F292B"/>
                <w:sz w:val="18"/>
              </w:rPr>
            </w:r>
          </w:p>
        </w:tc>
      </w:tr>
    </w:tbl>
    <w:p/>
    <w:p>
      <w:pPr>
        <w:pStyle w:val="Heading1"/>
      </w:pPr>
      <w:r>
        <w:t>Weekly review</w:t>
      </w:r>
    </w:p>
    <w:p>
      <w:pPr>
        <w:pStyle w:val="Heading2"/>
      </w:pPr>
      <w:r>
        <w:t>Week 1</w:t>
      </w:r>
    </w:p>
    <w:p>
      <w:r>
        <w:rPr>
          <w:rFonts w:ascii="Aptos" w:hAnsi="Aptos"/>
          <w:b/>
          <w:i w:val="0"/>
          <w:color w:val="2F292B"/>
          <w:sz w:val="21"/>
        </w:rPr>
        <w:t>What became clearer?</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became more complex?</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interpretation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support do I need?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faithful movement belongs to the next week?</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Week 2</w:t>
      </w:r>
    </w:p>
    <w:p>
      <w:r>
        <w:rPr>
          <w:rFonts w:ascii="Aptos" w:hAnsi="Aptos"/>
          <w:b/>
          <w:i w:val="0"/>
          <w:color w:val="2F292B"/>
          <w:sz w:val="21"/>
        </w:rPr>
        <w:t>What became clearer?</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became more complex?</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interpretation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support do I need?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faithful movement belongs to the next week?</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Week 3</w:t>
      </w:r>
    </w:p>
    <w:p>
      <w:r>
        <w:rPr>
          <w:rFonts w:ascii="Aptos" w:hAnsi="Aptos"/>
          <w:b/>
          <w:i w:val="0"/>
          <w:color w:val="2F292B"/>
          <w:sz w:val="21"/>
        </w:rPr>
        <w:t>What became clearer?</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became more complex?</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interpretation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support do I need?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faithful movement belongs to the next week?</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Week 4</w:t>
      </w:r>
    </w:p>
    <w:p>
      <w:r>
        <w:rPr>
          <w:rFonts w:ascii="Aptos" w:hAnsi="Aptos"/>
          <w:b/>
          <w:i w:val="0"/>
          <w:color w:val="2F292B"/>
          <w:sz w:val="21"/>
        </w:rPr>
        <w:t>What became clearer?</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became more complex?</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interpretation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support do I need?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faithful movement belongs to the next week?</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1"/>
      </w:pPr>
      <w:r>
        <w:t>My 90-day stewardship statement</w:t>
      </w:r>
    </w:p>
    <w:p>
      <w:r>
        <w:rPr>
          <w:rFonts w:ascii="Aptos" w:hAnsi="Aptos"/>
          <w:b w:val="0"/>
          <w:i w:val="0"/>
          <w:color w:val="2F292B"/>
          <w:sz w:val="21"/>
        </w:rPr>
        <w:t>During the next 90 days, I will steward this emerging understanding through the following practices, relationships, boundaries, learning, and service: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1"/>
      </w:pPr>
      <w:r>
        <w:t>Closing reflection</w:t>
      </w:r>
    </w:p>
    <w:p>
      <w:r>
        <w:rPr>
          <w:rFonts w:ascii="Aptos" w:hAnsi="Aptos"/>
          <w:b w:val="0"/>
          <w:i w:val="0"/>
          <w:color w:val="2F292B"/>
          <w:sz w:val="21"/>
        </w:rPr>
        <w:t>What entered my awareness through this journey? What gained language? What remains sacred, unfinished, or in need of counsel? What movement now feels faithful and proportionate?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Privacy and professional boundary reminder</w:t>
      </w:r>
    </w:p>
    <w:p>
      <w:r>
        <w:rPr>
          <w:rFonts w:ascii="Aptos" w:hAnsi="Aptos"/>
          <w:b w:val="0"/>
          <w:i w:val="0"/>
          <w:color w:val="2F292B"/>
          <w:sz w:val="21"/>
        </w:rPr>
        <w:t>Keep patient information, protected health information, identifying clinical details, confidential workplace information, proprietary data, and another person’s private story outside this workbook and any shared discussion. Use the workbook for personal reflection, education, vocational discernment, and spiritual formation. Individual medical, legal, mental health, or other professional needs belong within an appropriate professional relationship.</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READER COVENANT  </w:t>
            </w:r>
            <w:r>
              <w:rPr>
                <w:rFonts w:ascii="Georgia" w:hAnsi="Georgia"/>
                <w:b w:val="0"/>
                <w:i/>
                <w:color w:val="32181F"/>
                <w:sz w:val="22"/>
              </w:rPr>
              <w:t>I will protect dignity, context, consent, and confidentiality as I reflect, converse, and respond.</w:t>
            </w:r>
          </w:p>
        </w:tc>
      </w:tr>
    </w:tbl>
    <w:p/>
    <w:p>
      <w:pPr>
        <w:pStyle w:val="Heading2"/>
      </w:pPr>
      <w:r>
        <w:t>Before I share a story or reflection</w:t>
      </w:r>
    </w:p>
    <w:p>
      <w:pPr>
        <w:pStyle w:val="ListBullet"/>
      </w:pPr>
      <w:r>
        <w:rPr>
          <w:rFonts w:ascii="Aptos" w:hAnsi="Aptos"/>
          <w:b w:val="0"/>
          <w:i w:val="0"/>
          <w:color w:val="2F292B"/>
          <w:sz w:val="21"/>
        </w:rPr>
        <w:t>I have removed patient identifiers and confidential professional details.</w:t>
      </w:r>
    </w:p>
    <w:p>
      <w:pPr>
        <w:pStyle w:val="ListBullet"/>
      </w:pPr>
      <w:r>
        <w:rPr>
          <w:rFonts w:ascii="Aptos" w:hAnsi="Aptos"/>
          <w:b w:val="0"/>
          <w:i w:val="0"/>
          <w:color w:val="2F292B"/>
          <w:sz w:val="21"/>
        </w:rPr>
        <w:t>I own the story or have permission to share it.</w:t>
      </w:r>
    </w:p>
    <w:p>
      <w:pPr>
        <w:pStyle w:val="ListBullet"/>
      </w:pPr>
      <w:r>
        <w:rPr>
          <w:rFonts w:ascii="Aptos" w:hAnsi="Aptos"/>
          <w:b w:val="0"/>
          <w:i w:val="0"/>
          <w:color w:val="2F292B"/>
          <w:sz w:val="21"/>
        </w:rPr>
        <w:t>I understand the purpose and audience of the conversation.</w:t>
      </w:r>
    </w:p>
    <w:p>
      <w:pPr>
        <w:pStyle w:val="ListBullet"/>
      </w:pPr>
      <w:r>
        <w:rPr>
          <w:rFonts w:ascii="Aptos" w:hAnsi="Aptos"/>
          <w:b w:val="0"/>
          <w:i w:val="0"/>
          <w:color w:val="2F292B"/>
          <w:sz w:val="21"/>
        </w:rPr>
        <w:t>I may keep any reflection private or decline to answer.</w:t>
      </w:r>
    </w:p>
    <w:p>
      <w:pPr>
        <w:pStyle w:val="ListBullet"/>
      </w:pPr>
      <w:r>
        <w:rPr>
          <w:rFonts w:ascii="Aptos" w:hAnsi="Aptos"/>
          <w:b w:val="0"/>
          <w:i w:val="0"/>
          <w:color w:val="2F292B"/>
          <w:sz w:val="21"/>
        </w:rPr>
        <w:t>Individualized care or advice remains within an appropriate professional relationship.</w:t>
      </w:r>
    </w:p>
    <w:p>
      <w:pPr>
        <w:pStyle w:val="Heading2"/>
      </w:pPr>
      <w:r>
        <w:t>My commitment</w:t>
      </w:r>
    </w:p>
    <w:p>
      <w:r>
        <w:rPr>
          <w:rFonts w:ascii="Aptos" w:hAnsi="Aptos"/>
          <w:b w:val="0"/>
          <w:i w:val="0"/>
          <w:color w:val="2F292B"/>
          <w:sz w:val="21"/>
        </w:rPr>
        <w:t>The boundary or practice that will help me protect integrity during this journey is:</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sectPr w:rsidR="00FC693F" w:rsidRPr="0006063C" w:rsidSect="00034616">
      <w:headerReference w:type="default" r:id="rId9"/>
      <w:footerReference w:type="default" r:id="rId10"/>
      <w:pgSz w:w="12240" w:h="15840"/>
      <w:pgMar w:top="1123" w:right="1181" w:bottom="1080" w:left="1181"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i w:val="0"/>
        <w:color w:val="715F62"/>
        <w:sz w:val="16"/>
      </w:rPr>
      <w:t xml:space="preserve">DR. SHERRY-ANN BROWN  |  </w:t>
    </w:r>
    <w:r>
      <w:fldChar w:fldCharType="begin"/>
      <w:instrText xml:space="preserve">PAGE</w:instrText>
      <w:fldChar w:fldCharType="separate"/>
      <w:t>1</w:t>
      <w:fldChar w:fldCharType="end"/>
    </w:r>
    <w:r>
      <w:t xml:space="preserve">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ptos" w:hAnsi="Aptos"/>
        <w:b/>
        <w:i w:val="0"/>
        <w:color w:val="B78B3F"/>
        <w:sz w:val="16"/>
      </w:rPr>
      <w:t>PARTICIPANT WORKBOOK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4" w:lineRule="auto"/>
    </w:pPr>
    <w:rPr>
      <w:rFonts w:ascii="Aptos" w:hAnsi="Aptos"/>
      <w:color w:val="2F29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Georgia" w:hAnsi="Georgia"/>
      <w:b/>
      <w:bCs/>
      <w:color w:val="762631"/>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Georgia" w:hAnsi="Georgia"/>
      <w:b/>
      <w:bCs/>
      <w:color w:val="762631"/>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3218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color w:val="FFF9F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Georgia" w:hAnsi="Georgia"/>
      <w:b w:val="0"/>
      <w:i/>
      <w:iCs/>
      <w:color w:val="B78B3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10" w:line="274" w:lineRule="auto"/>
      <w:ind w:left="504"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10" w:line="274" w:lineRule="auto"/>
      <w:ind w:left="504"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